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仿宋_GBK" w:asciiTheme="minorEastAsia" w:hAnsiTheme="minorEastAsia" w:eastAsiaTheme="minorEastAsia"/>
          <w:color w:val="auto"/>
          <w:sz w:val="36"/>
          <w:szCs w:val="36"/>
          <w:highlight w:val="none"/>
        </w:rPr>
      </w:pPr>
    </w:p>
    <w:p>
      <w:pPr>
        <w:jc w:val="center"/>
        <w:rPr>
          <w:rFonts w:cs="方正仿宋_GBK" w:asciiTheme="minorEastAsia" w:hAnsiTheme="minorEastAsia" w:eastAsiaTheme="minorEastAsia"/>
          <w:color w:val="auto"/>
          <w:sz w:val="36"/>
          <w:szCs w:val="36"/>
          <w:highlight w:val="none"/>
        </w:rPr>
      </w:pPr>
    </w:p>
    <w:p>
      <w:pPr>
        <w:rPr>
          <w:rFonts w:cs="方正仿宋_GBK" w:asciiTheme="minorEastAsia" w:hAnsiTheme="minorEastAsia" w:eastAsiaTheme="minorEastAsia"/>
          <w:color w:val="auto"/>
          <w:sz w:val="84"/>
          <w:szCs w:val="84"/>
          <w:highlight w:val="none"/>
        </w:rPr>
      </w:pPr>
    </w:p>
    <w:p>
      <w:pPr>
        <w:rPr>
          <w:rFonts w:cs="方正仿宋_GBK" w:asciiTheme="minorEastAsia" w:hAnsiTheme="minorEastAsia" w:eastAsiaTheme="minorEastAsia"/>
          <w:color w:val="auto"/>
          <w:sz w:val="84"/>
          <w:szCs w:val="84"/>
          <w:highlight w:val="none"/>
        </w:rPr>
      </w:pPr>
    </w:p>
    <w:p>
      <w:pPr>
        <w:jc w:val="center"/>
        <w:rPr>
          <w:rFonts w:hint="eastAsia" w:cs="方正仿宋_GBK" w:asciiTheme="minorEastAsia" w:hAnsiTheme="minorEastAsia" w:eastAsiaTheme="minorEastAsia"/>
          <w:color w:val="auto"/>
          <w:sz w:val="84"/>
          <w:szCs w:val="84"/>
          <w:highlight w:val="none"/>
          <w:lang w:val="en-US" w:eastAsia="zh-CN"/>
        </w:rPr>
      </w:pPr>
      <w:r>
        <w:rPr>
          <w:rFonts w:hint="eastAsia" w:cs="方正仿宋_GBK" w:asciiTheme="minorEastAsia" w:hAnsiTheme="minorEastAsia" w:eastAsiaTheme="minorEastAsia"/>
          <w:color w:val="auto"/>
          <w:sz w:val="84"/>
          <w:szCs w:val="84"/>
          <w:highlight w:val="none"/>
          <w:lang w:val="en-US" w:eastAsia="zh-CN"/>
        </w:rPr>
        <w:t>竞争性磋商文件</w:t>
      </w:r>
    </w:p>
    <w:p>
      <w:pPr>
        <w:adjustRightInd w:val="0"/>
        <w:snapToGrid w:val="0"/>
        <w:rPr>
          <w:rFonts w:cs="方正仿宋_GBK" w:asciiTheme="minorEastAsia" w:hAnsiTheme="minorEastAsia" w:eastAsiaTheme="minorEastAsia"/>
          <w:color w:val="auto"/>
          <w:sz w:val="32"/>
          <w:szCs w:val="32"/>
          <w:highlight w:val="none"/>
        </w:rPr>
      </w:pPr>
    </w:p>
    <w:p>
      <w:pPr>
        <w:jc w:val="center"/>
        <w:rPr>
          <w:rFonts w:cs="方正仿宋_GBK" w:asciiTheme="minorEastAsia" w:hAnsiTheme="minorEastAsia" w:eastAsiaTheme="minorEastAsia"/>
          <w:color w:val="auto"/>
          <w:sz w:val="32"/>
          <w:szCs w:val="32"/>
          <w:highlight w:val="none"/>
        </w:rPr>
      </w:pPr>
      <w:r>
        <w:rPr>
          <w:rFonts w:hint="eastAsia" w:cs="方正仿宋_GBK" w:asciiTheme="minorEastAsia" w:hAnsiTheme="minorEastAsia" w:eastAsiaTheme="minorEastAsia"/>
          <w:color w:val="auto"/>
          <w:sz w:val="32"/>
          <w:szCs w:val="32"/>
          <w:highlight w:val="none"/>
        </w:rPr>
        <w:t>项目编号：CQVIE20230522</w:t>
      </w:r>
    </w:p>
    <w:p>
      <w:pPr>
        <w:jc w:val="center"/>
        <w:rPr>
          <w:rFonts w:cs="方正仿宋_GBK" w:asciiTheme="minorEastAsia" w:hAnsiTheme="minorEastAsia" w:eastAsiaTheme="minorEastAsia"/>
          <w:color w:val="auto"/>
          <w:sz w:val="84"/>
          <w:szCs w:val="84"/>
          <w:highlight w:val="none"/>
        </w:rPr>
      </w:pPr>
      <w:r>
        <w:rPr>
          <w:rFonts w:hint="eastAsia" w:cs="方正仿宋_GBK" w:asciiTheme="minorEastAsia" w:hAnsiTheme="minorEastAsia" w:eastAsiaTheme="minorEastAsia"/>
          <w:color w:val="auto"/>
          <w:sz w:val="32"/>
          <w:szCs w:val="32"/>
          <w:highlight w:val="none"/>
        </w:rPr>
        <w:t>项目名称：</w:t>
      </w:r>
      <w:bookmarkStart w:id="0" w:name="_Hlk97212368"/>
      <w:r>
        <w:rPr>
          <w:rFonts w:hint="eastAsia" w:cs="方正仿宋_GBK" w:asciiTheme="minorEastAsia" w:hAnsiTheme="minorEastAsia" w:eastAsiaTheme="minorEastAsia"/>
          <w:color w:val="auto"/>
          <w:sz w:val="32"/>
          <w:szCs w:val="32"/>
          <w:highlight w:val="none"/>
        </w:rPr>
        <w:t>重庆工程职业技术学院项目采购代理机构遴选</w:t>
      </w:r>
      <w:bookmarkEnd w:id="0"/>
    </w:p>
    <w:p>
      <w:pPr>
        <w:jc w:val="center"/>
        <w:rPr>
          <w:rFonts w:cs="方正仿宋_GBK" w:asciiTheme="minorEastAsia" w:hAnsiTheme="minorEastAsia" w:eastAsiaTheme="minorEastAsia"/>
          <w:color w:val="auto"/>
          <w:sz w:val="36"/>
          <w:szCs w:val="36"/>
          <w:highlight w:val="none"/>
        </w:rPr>
      </w:pPr>
    </w:p>
    <w:p>
      <w:pPr>
        <w:jc w:val="center"/>
        <w:rPr>
          <w:rFonts w:cs="方正仿宋_GBK" w:asciiTheme="minorEastAsia" w:hAnsiTheme="minorEastAsia" w:eastAsiaTheme="minorEastAsia"/>
          <w:color w:val="auto"/>
          <w:sz w:val="36"/>
          <w:szCs w:val="36"/>
          <w:highlight w:val="none"/>
        </w:rPr>
      </w:pPr>
    </w:p>
    <w:p>
      <w:pPr>
        <w:jc w:val="center"/>
        <w:rPr>
          <w:rFonts w:cs="方正仿宋_GBK" w:asciiTheme="minorEastAsia" w:hAnsiTheme="minorEastAsia" w:eastAsiaTheme="minorEastAsia"/>
          <w:color w:val="auto"/>
          <w:sz w:val="36"/>
          <w:szCs w:val="36"/>
          <w:highlight w:val="none"/>
        </w:rPr>
      </w:pPr>
    </w:p>
    <w:p>
      <w:pPr>
        <w:pStyle w:val="3"/>
        <w:spacing w:line="360" w:lineRule="auto"/>
        <w:jc w:val="center"/>
        <w:rPr>
          <w:rFonts w:cs="方正仿宋_GBK" w:asciiTheme="minorEastAsia" w:hAnsiTheme="minorEastAsia" w:eastAsiaTheme="minorEastAsia"/>
          <w:b/>
          <w:color w:val="auto"/>
          <w:sz w:val="30"/>
          <w:szCs w:val="30"/>
          <w:highlight w:val="none"/>
        </w:rPr>
      </w:pPr>
      <w:r>
        <w:rPr>
          <w:rFonts w:hint="eastAsia" w:cs="方正仿宋_GBK" w:asciiTheme="minorEastAsia" w:hAnsiTheme="minorEastAsia" w:eastAsiaTheme="minorEastAsia"/>
          <w:color w:val="auto"/>
          <w:sz w:val="32"/>
          <w:szCs w:val="32"/>
          <w:highlight w:val="none"/>
          <w:lang w:val="en-US" w:eastAsia="zh-CN"/>
        </w:rPr>
        <w:t>采购</w:t>
      </w:r>
      <w:r>
        <w:rPr>
          <w:rFonts w:hint="eastAsia" w:cs="方正仿宋_GBK" w:asciiTheme="minorEastAsia" w:hAnsiTheme="minorEastAsia" w:eastAsiaTheme="minorEastAsia"/>
          <w:color w:val="auto"/>
          <w:sz w:val="32"/>
          <w:szCs w:val="32"/>
          <w:highlight w:val="none"/>
        </w:rPr>
        <w:t>人：重庆工程职业技术学院</w:t>
      </w:r>
    </w:p>
    <w:p>
      <w:pPr>
        <w:spacing w:line="360" w:lineRule="auto"/>
        <w:jc w:val="center"/>
        <w:rPr>
          <w:rFonts w:cs="方正仿宋_GBK" w:asciiTheme="minorEastAsia" w:hAnsiTheme="minorEastAsia" w:eastAsiaTheme="minorEastAsia"/>
          <w:color w:val="auto"/>
          <w:sz w:val="32"/>
          <w:szCs w:val="32"/>
          <w:highlight w:val="none"/>
        </w:rPr>
        <w:sectPr>
          <w:footerReference r:id="rId5" w:type="first"/>
          <w:footerReference r:id="rId3" w:type="default"/>
          <w:footerReference r:id="rId4" w:type="even"/>
          <w:pgSz w:w="11906" w:h="16838"/>
          <w:pgMar w:top="1985" w:right="1474" w:bottom="1701" w:left="1588" w:header="851" w:footer="851" w:gutter="0"/>
          <w:cols w:space="425" w:num="1"/>
          <w:docGrid w:linePitch="388" w:charSpace="-1260"/>
        </w:sectPr>
      </w:pPr>
      <w:r>
        <w:rPr>
          <w:rFonts w:hint="eastAsia" w:cs="方正仿宋_GBK" w:asciiTheme="minorEastAsia" w:hAnsiTheme="minorEastAsia" w:eastAsiaTheme="minorEastAsia"/>
          <w:color w:val="auto"/>
          <w:sz w:val="32"/>
          <w:szCs w:val="32"/>
          <w:highlight w:val="none"/>
        </w:rPr>
        <w:t>202</w:t>
      </w:r>
      <w:r>
        <w:rPr>
          <w:rFonts w:cs="方正仿宋_GBK" w:asciiTheme="minorEastAsia" w:hAnsiTheme="minorEastAsia" w:eastAsiaTheme="minorEastAsia"/>
          <w:color w:val="auto"/>
          <w:sz w:val="32"/>
          <w:szCs w:val="32"/>
          <w:highlight w:val="none"/>
        </w:rPr>
        <w:t>3</w:t>
      </w:r>
      <w:r>
        <w:rPr>
          <w:rFonts w:hint="eastAsia" w:cs="方正仿宋_GBK" w:asciiTheme="minorEastAsia" w:hAnsiTheme="minorEastAsia" w:eastAsiaTheme="minorEastAsia"/>
          <w:color w:val="auto"/>
          <w:sz w:val="32"/>
          <w:szCs w:val="32"/>
          <w:highlight w:val="none"/>
        </w:rPr>
        <w:t>年</w:t>
      </w:r>
      <w:r>
        <w:rPr>
          <w:rFonts w:hint="eastAsia" w:cs="方正仿宋_GBK" w:asciiTheme="minorEastAsia" w:hAnsiTheme="minorEastAsia" w:eastAsiaTheme="minorEastAsia"/>
          <w:color w:val="auto"/>
          <w:sz w:val="32"/>
          <w:szCs w:val="32"/>
          <w:highlight w:val="none"/>
          <w:lang w:val="en-US" w:eastAsia="zh-CN"/>
        </w:rPr>
        <w:t>6</w:t>
      </w:r>
      <w:r>
        <w:rPr>
          <w:rFonts w:hint="eastAsia" w:cs="方正仿宋_GBK" w:asciiTheme="minorEastAsia" w:hAnsiTheme="minorEastAsia" w:eastAsiaTheme="minorEastAsia"/>
          <w:color w:val="auto"/>
          <w:sz w:val="32"/>
          <w:szCs w:val="32"/>
          <w:highlight w:val="none"/>
        </w:rPr>
        <w:t>月</w:t>
      </w:r>
    </w:p>
    <w:p>
      <w:pPr>
        <w:spacing w:line="360" w:lineRule="auto"/>
        <w:jc w:val="center"/>
        <w:rPr>
          <w:rFonts w:cs="方正仿宋_GBK" w:asciiTheme="minorEastAsia" w:hAnsiTheme="minorEastAsia" w:eastAsiaTheme="minorEastAsia"/>
          <w:color w:val="auto"/>
          <w:sz w:val="44"/>
          <w:szCs w:val="44"/>
          <w:highlight w:val="none"/>
        </w:rPr>
      </w:pPr>
      <w:r>
        <w:rPr>
          <w:rFonts w:hint="eastAsia" w:cs="方正仿宋_GBK" w:asciiTheme="minorEastAsia" w:hAnsiTheme="minorEastAsia" w:eastAsiaTheme="minorEastAsia"/>
          <w:color w:val="auto"/>
          <w:sz w:val="44"/>
          <w:szCs w:val="44"/>
          <w:highlight w:val="none"/>
        </w:rPr>
        <w:t>目    录</w:t>
      </w:r>
    </w:p>
    <w:p>
      <w:pPr>
        <w:pStyle w:val="17"/>
        <w:adjustRightInd w:val="0"/>
        <w:snapToGrid w:val="0"/>
        <w:spacing w:line="360" w:lineRule="auto"/>
        <w:ind w:left="960"/>
        <w:rPr>
          <w:rFonts w:cs="方正仿宋_GBK" w:asciiTheme="minorEastAsia" w:hAnsiTheme="minorEastAsia" w:eastAsiaTheme="minorEastAsia"/>
          <w:color w:val="auto"/>
          <w:sz w:val="32"/>
          <w:szCs w:val="32"/>
          <w:highlight w:val="none"/>
        </w:rPr>
      </w:pPr>
      <w:r>
        <w:rPr>
          <w:rFonts w:hint="eastAsia" w:cs="方正仿宋_GBK" w:asciiTheme="minorEastAsia" w:hAnsiTheme="minorEastAsia" w:eastAsiaTheme="minorEastAsia"/>
          <w:color w:val="auto"/>
          <w:sz w:val="32"/>
          <w:szCs w:val="32"/>
          <w:highlight w:val="none"/>
        </w:rPr>
        <w:t xml:space="preserve">第一部分  </w:t>
      </w:r>
      <w:r>
        <w:rPr>
          <w:rFonts w:hint="eastAsia" w:cs="方正仿宋_GBK" w:asciiTheme="minorEastAsia" w:hAnsiTheme="minorEastAsia" w:eastAsiaTheme="minorEastAsia"/>
          <w:color w:val="auto"/>
          <w:sz w:val="32"/>
          <w:szCs w:val="32"/>
          <w:highlight w:val="none"/>
          <w:lang w:val="en-US" w:eastAsia="zh-CN"/>
        </w:rPr>
        <w:t>采购</w:t>
      </w:r>
      <w:r>
        <w:rPr>
          <w:rFonts w:hint="eastAsia" w:cs="方正仿宋_GBK" w:asciiTheme="minorEastAsia" w:hAnsiTheme="minorEastAsia" w:eastAsiaTheme="minorEastAsia"/>
          <w:color w:val="auto"/>
          <w:sz w:val="32"/>
          <w:szCs w:val="32"/>
          <w:highlight w:val="none"/>
        </w:rPr>
        <w:t>公告</w:t>
      </w:r>
    </w:p>
    <w:p>
      <w:pPr>
        <w:adjustRightInd w:val="0"/>
        <w:snapToGrid w:val="0"/>
        <w:spacing w:line="360" w:lineRule="auto"/>
        <w:rPr>
          <w:rFonts w:cs="方正仿宋_GBK" w:asciiTheme="minorEastAsia" w:hAnsiTheme="minorEastAsia" w:eastAsiaTheme="minorEastAsia"/>
          <w:color w:val="auto"/>
          <w:sz w:val="32"/>
          <w:szCs w:val="32"/>
          <w:highlight w:val="none"/>
        </w:rPr>
      </w:pPr>
      <w:r>
        <w:rPr>
          <w:rFonts w:hint="eastAsia" w:cs="方正仿宋_GBK" w:asciiTheme="minorEastAsia" w:hAnsiTheme="minorEastAsia" w:eastAsiaTheme="minorEastAsia"/>
          <w:color w:val="auto"/>
          <w:sz w:val="32"/>
          <w:szCs w:val="32"/>
          <w:highlight w:val="none"/>
        </w:rPr>
        <w:t xml:space="preserve">      第二部分  项目技术及商务要求</w:t>
      </w:r>
    </w:p>
    <w:p>
      <w:pPr>
        <w:adjustRightInd w:val="0"/>
        <w:snapToGrid w:val="0"/>
        <w:spacing w:line="360" w:lineRule="auto"/>
        <w:ind w:firstLine="960" w:firstLineChars="300"/>
        <w:rPr>
          <w:rFonts w:cs="方正仿宋_GBK" w:asciiTheme="minorEastAsia" w:hAnsiTheme="minorEastAsia" w:eastAsiaTheme="minorEastAsia"/>
          <w:color w:val="auto"/>
          <w:sz w:val="32"/>
          <w:szCs w:val="32"/>
          <w:highlight w:val="none"/>
        </w:rPr>
      </w:pPr>
      <w:r>
        <w:rPr>
          <w:rFonts w:hint="eastAsia" w:cs="方正仿宋_GBK" w:asciiTheme="minorEastAsia" w:hAnsiTheme="minorEastAsia" w:eastAsiaTheme="minorEastAsia"/>
          <w:color w:val="auto"/>
          <w:sz w:val="32"/>
          <w:szCs w:val="32"/>
          <w:highlight w:val="none"/>
        </w:rPr>
        <w:t>第三部分  投标人须知</w:t>
      </w:r>
    </w:p>
    <w:p>
      <w:pPr>
        <w:adjustRightInd w:val="0"/>
        <w:snapToGrid w:val="0"/>
        <w:spacing w:line="360" w:lineRule="auto"/>
        <w:ind w:firstLine="960" w:firstLineChars="300"/>
        <w:rPr>
          <w:rFonts w:cs="方正仿宋_GBK" w:asciiTheme="minorEastAsia" w:hAnsiTheme="minorEastAsia" w:eastAsiaTheme="minorEastAsia"/>
          <w:color w:val="auto"/>
          <w:sz w:val="32"/>
          <w:szCs w:val="32"/>
          <w:highlight w:val="none"/>
        </w:rPr>
      </w:pPr>
      <w:r>
        <w:rPr>
          <w:rFonts w:hint="eastAsia" w:cs="方正仿宋_GBK" w:asciiTheme="minorEastAsia" w:hAnsiTheme="minorEastAsia" w:eastAsiaTheme="minorEastAsia"/>
          <w:color w:val="auto"/>
          <w:sz w:val="32"/>
          <w:szCs w:val="32"/>
          <w:highlight w:val="none"/>
        </w:rPr>
        <w:t>第四部分  合同样本</w:t>
      </w:r>
    </w:p>
    <w:p>
      <w:pPr>
        <w:adjustRightInd w:val="0"/>
        <w:snapToGrid w:val="0"/>
        <w:spacing w:line="360" w:lineRule="auto"/>
        <w:ind w:firstLine="960" w:firstLineChars="300"/>
        <w:rPr>
          <w:rFonts w:cs="方正仿宋_GBK" w:asciiTheme="minorEastAsia" w:hAnsiTheme="minorEastAsia" w:eastAsiaTheme="minorEastAsia"/>
          <w:color w:val="auto"/>
          <w:sz w:val="32"/>
          <w:szCs w:val="32"/>
          <w:highlight w:val="none"/>
        </w:rPr>
      </w:pPr>
      <w:r>
        <w:rPr>
          <w:rFonts w:hint="eastAsia" w:cs="方正仿宋_GBK" w:asciiTheme="minorEastAsia" w:hAnsiTheme="minorEastAsia" w:eastAsiaTheme="minorEastAsia"/>
          <w:color w:val="auto"/>
          <w:sz w:val="32"/>
          <w:szCs w:val="32"/>
          <w:highlight w:val="none"/>
        </w:rPr>
        <w:t xml:space="preserve">第五部分  </w:t>
      </w:r>
      <w:r>
        <w:rPr>
          <w:rFonts w:hint="eastAsia" w:cs="方正仿宋_GBK" w:asciiTheme="minorEastAsia" w:hAnsiTheme="minorEastAsia" w:eastAsiaTheme="minorEastAsia"/>
          <w:color w:val="auto"/>
          <w:sz w:val="32"/>
          <w:szCs w:val="32"/>
          <w:highlight w:val="none"/>
          <w:lang w:val="en-US" w:eastAsia="zh-CN"/>
        </w:rPr>
        <w:t>响应</w:t>
      </w:r>
      <w:r>
        <w:rPr>
          <w:rFonts w:hint="eastAsia" w:cs="方正仿宋_GBK" w:asciiTheme="minorEastAsia" w:hAnsiTheme="minorEastAsia" w:eastAsiaTheme="minorEastAsia"/>
          <w:color w:val="auto"/>
          <w:sz w:val="32"/>
          <w:szCs w:val="32"/>
          <w:highlight w:val="none"/>
        </w:rPr>
        <w:t>文件格式/附件</w:t>
      </w:r>
    </w:p>
    <w:p>
      <w:pPr>
        <w:pStyle w:val="17"/>
        <w:ind w:left="960"/>
        <w:rPr>
          <w:rFonts w:cs="方正仿宋_GBK" w:asciiTheme="minorEastAsia" w:hAnsiTheme="minorEastAsia" w:eastAsiaTheme="minorEastAsia"/>
          <w:color w:val="auto"/>
          <w:sz w:val="32"/>
          <w:szCs w:val="32"/>
          <w:highlight w:val="none"/>
        </w:rPr>
      </w:pPr>
    </w:p>
    <w:p>
      <w:pPr>
        <w:pStyle w:val="17"/>
        <w:ind w:left="960"/>
        <w:rPr>
          <w:rFonts w:cs="方正仿宋_GBK" w:asciiTheme="minorEastAsia" w:hAnsiTheme="minorEastAsia" w:eastAsiaTheme="minorEastAsia"/>
          <w:color w:val="auto"/>
          <w:sz w:val="32"/>
          <w:szCs w:val="32"/>
          <w:highlight w:val="none"/>
        </w:rPr>
      </w:pPr>
    </w:p>
    <w:p>
      <w:pPr>
        <w:ind w:firstLine="1288" w:firstLineChars="358"/>
        <w:rPr>
          <w:rFonts w:cs="方正仿宋_GBK" w:asciiTheme="minorEastAsia" w:hAnsiTheme="minorEastAsia" w:eastAsiaTheme="minorEastAsia"/>
          <w:color w:val="auto"/>
          <w:sz w:val="36"/>
          <w:szCs w:val="36"/>
          <w:highlight w:val="none"/>
        </w:rPr>
        <w:sectPr>
          <w:headerReference r:id="rId6" w:type="default"/>
          <w:footerReference r:id="rId7" w:type="default"/>
          <w:pgSz w:w="11906" w:h="16838"/>
          <w:pgMar w:top="1985" w:right="1474" w:bottom="1701" w:left="1588" w:header="851" w:footer="851" w:gutter="0"/>
          <w:pgNumType w:fmt="numberInDash"/>
          <w:cols w:space="425" w:num="1"/>
          <w:docGrid w:linePitch="388" w:charSpace="-1260"/>
        </w:sectPr>
      </w:pPr>
      <w:bookmarkStart w:id="1" w:name="_Toc240432228"/>
    </w:p>
    <w:p>
      <w:pPr>
        <w:tabs>
          <w:tab w:val="left" w:pos="2688"/>
        </w:tabs>
        <w:spacing w:beforeLines="100" w:line="440" w:lineRule="exact"/>
        <w:jc w:val="center"/>
        <w:outlineLvl w:val="0"/>
        <w:rPr>
          <w:rFonts w:cs="方正仿宋_GBK" w:asciiTheme="minorEastAsia" w:hAnsiTheme="minorEastAsia" w:eastAsiaTheme="minorEastAsia"/>
          <w:color w:val="auto"/>
          <w:sz w:val="44"/>
          <w:szCs w:val="44"/>
          <w:highlight w:val="none"/>
        </w:rPr>
      </w:pPr>
      <w:bookmarkStart w:id="2" w:name="_Toc285612593"/>
      <w:r>
        <w:rPr>
          <w:rFonts w:hint="eastAsia" w:cs="方正仿宋_GBK" w:asciiTheme="minorEastAsia" w:hAnsiTheme="minorEastAsia" w:eastAsiaTheme="minorEastAsia"/>
          <w:color w:val="auto"/>
          <w:sz w:val="44"/>
          <w:szCs w:val="44"/>
          <w:highlight w:val="none"/>
        </w:rPr>
        <w:t xml:space="preserve">第一部分  </w:t>
      </w:r>
      <w:bookmarkEnd w:id="1"/>
      <w:bookmarkEnd w:id="2"/>
      <w:r>
        <w:rPr>
          <w:rFonts w:hint="eastAsia" w:cs="方正仿宋_GBK" w:asciiTheme="minorEastAsia" w:hAnsiTheme="minorEastAsia" w:eastAsiaTheme="minorEastAsia"/>
          <w:color w:val="auto"/>
          <w:sz w:val="44"/>
          <w:szCs w:val="44"/>
          <w:highlight w:val="none"/>
          <w:lang w:val="en-US" w:eastAsia="zh-CN"/>
        </w:rPr>
        <w:t>采购</w:t>
      </w:r>
      <w:r>
        <w:rPr>
          <w:rFonts w:hint="eastAsia" w:cs="方正仿宋_GBK" w:asciiTheme="minorEastAsia" w:hAnsiTheme="minorEastAsia" w:eastAsiaTheme="minorEastAsia"/>
          <w:color w:val="auto"/>
          <w:sz w:val="44"/>
          <w:szCs w:val="44"/>
          <w:highlight w:val="none"/>
        </w:rPr>
        <w:t>公告</w:t>
      </w:r>
    </w:p>
    <w:p>
      <w:pPr>
        <w:tabs>
          <w:tab w:val="left" w:pos="2688"/>
        </w:tabs>
        <w:spacing w:beforeLines="100" w:line="440" w:lineRule="exact"/>
        <w:jc w:val="center"/>
        <w:outlineLvl w:val="0"/>
        <w:rPr>
          <w:rFonts w:cs="方正仿宋_GBK" w:asciiTheme="minorEastAsia" w:hAnsiTheme="minorEastAsia" w:eastAsiaTheme="minorEastAsia"/>
          <w:color w:val="auto"/>
          <w:sz w:val="44"/>
          <w:szCs w:val="44"/>
          <w:highlight w:val="none"/>
        </w:rPr>
      </w:pPr>
    </w:p>
    <w:p>
      <w:pPr>
        <w:tabs>
          <w:tab w:val="left" w:pos="2688"/>
        </w:tabs>
        <w:spacing w:line="520" w:lineRule="exact"/>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重庆工程职业技术学院（以下简称“采购人”），准备在近期对重庆工程职业技术学院</w:t>
      </w:r>
      <w:r>
        <w:rPr>
          <w:rFonts w:hint="eastAsia" w:cs="方正仿宋_GBK" w:asciiTheme="minorEastAsia" w:hAnsiTheme="minorEastAsia" w:eastAsiaTheme="minorEastAsia"/>
          <w:color w:val="auto"/>
          <w:sz w:val="28"/>
          <w:szCs w:val="28"/>
          <w:highlight w:val="none"/>
          <w:lang w:val="en-US" w:eastAsia="zh-CN"/>
        </w:rPr>
        <w:t>项目采购代理机构遴选</w:t>
      </w:r>
      <w:r>
        <w:rPr>
          <w:rFonts w:hint="eastAsia" w:cs="方正仿宋_GBK" w:asciiTheme="minorEastAsia" w:hAnsiTheme="minorEastAsia" w:eastAsiaTheme="minorEastAsia"/>
          <w:color w:val="auto"/>
          <w:sz w:val="28"/>
          <w:szCs w:val="28"/>
          <w:highlight w:val="none"/>
        </w:rPr>
        <w:t>采取竞争性磋商方式进行采购，欢迎合格的供应商前来参加磋商。</w:t>
      </w:r>
    </w:p>
    <w:p>
      <w:pPr>
        <w:tabs>
          <w:tab w:val="left" w:pos="2688"/>
        </w:tabs>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一、项目情况</w:t>
      </w:r>
    </w:p>
    <w:p>
      <w:pPr>
        <w:tabs>
          <w:tab w:val="left" w:pos="2688"/>
        </w:tabs>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项目名称：重庆工程职业技术学院项目采购代理机构遴选</w:t>
      </w:r>
    </w:p>
    <w:p>
      <w:pPr>
        <w:tabs>
          <w:tab w:val="left" w:pos="2688"/>
        </w:tabs>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项目编号：CQVIE20230522</w:t>
      </w:r>
    </w:p>
    <w:p>
      <w:pPr>
        <w:tabs>
          <w:tab w:val="left" w:pos="2688"/>
        </w:tabs>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项目内容：</w:t>
      </w:r>
    </w:p>
    <w:p>
      <w:pPr>
        <w:tabs>
          <w:tab w:val="left" w:pos="2688"/>
        </w:tabs>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1.分包一：货物、服务类项目采购代理服务，服务期限至合同签订之日起2年，中标人4名以内（含本数）。</w:t>
      </w:r>
    </w:p>
    <w:p>
      <w:pPr>
        <w:tabs>
          <w:tab w:val="left" w:pos="2688"/>
        </w:tabs>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2.分包二：工程类项目采购代理服务，服务期限至合同签订之日起2年，中标人2名以内（含本数）。</w:t>
      </w:r>
    </w:p>
    <w:p>
      <w:pPr>
        <w:tabs>
          <w:tab w:val="left" w:pos="2688"/>
        </w:tabs>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注：同一家投标人可同时投两个包，但只能中一个包；单位负责人为同一人或者存在直接控股、管理关系的不同投标人，不得参加同一合同项（包）下的政府采购活动，否则均为无效投标。</w:t>
      </w:r>
    </w:p>
    <w:p>
      <w:pPr>
        <w:tabs>
          <w:tab w:val="left" w:pos="2688"/>
        </w:tabs>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二、投标人资质要求</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合格投标人应符合政府采购法第二十二条规定的基本条件，同时符合根据该项目特点设置的特定资格条件。</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（一）基本资格条件</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1.具有独立承担民事责任的能力；</w:t>
      </w:r>
    </w:p>
    <w:p>
      <w:pPr>
        <w:spacing w:line="520" w:lineRule="exact"/>
        <w:ind w:firstLine="560" w:firstLineChars="200"/>
        <w:rPr>
          <w:rFonts w:hint="eastAsia" w:cs="方正仿宋_GBK" w:asciiTheme="minorEastAsia" w:hAnsiTheme="minorEastAsia" w:eastAsiaTheme="minorEastAsia"/>
          <w:color w:val="auto"/>
          <w:sz w:val="28"/>
          <w:szCs w:val="28"/>
          <w:highlight w:val="none"/>
          <w:lang w:eastAsia="zh-CN"/>
        </w:rPr>
      </w:pPr>
      <w:r>
        <w:rPr>
          <w:rFonts w:hint="eastAsia" w:cs="方正仿宋_GBK" w:asciiTheme="minorEastAsia" w:hAnsiTheme="minorEastAsia" w:eastAsiaTheme="minorEastAsia"/>
          <w:color w:val="auto"/>
          <w:sz w:val="28"/>
          <w:szCs w:val="28"/>
          <w:highlight w:val="none"/>
        </w:rPr>
        <w:t>2.具有良好的商业信誉和健全的财务会计制度</w:t>
      </w:r>
      <w:r>
        <w:rPr>
          <w:rFonts w:hint="eastAsia" w:cs="方正仿宋_GBK" w:asciiTheme="minorEastAsia" w:hAnsiTheme="minorEastAsia" w:eastAsiaTheme="minorEastAsia"/>
          <w:color w:val="auto"/>
          <w:sz w:val="28"/>
          <w:szCs w:val="28"/>
          <w:highlight w:val="none"/>
          <w:lang w:eastAsia="zh-CN"/>
        </w:rPr>
        <w:t>；</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3.具有履行合同所必需的设备和专业技术能力；</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4.有依法缴纳税收和社会保障资金的良好记录；</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5.参加政府采购活动前三年内，在经营活动中没有违法记录；</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6.法律、行政法规规定的其他条件。</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（二）特定资格条件</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ascii="宋体" w:hAnsi="宋体" w:cs="方正仿宋_GBK"/>
          <w:color w:val="auto"/>
          <w:sz w:val="28"/>
          <w:szCs w:val="28"/>
          <w:highlight w:val="none"/>
        </w:rPr>
        <w:t>1.分包一：现属于重庆</w:t>
      </w:r>
      <w:r>
        <w:rPr>
          <w:rFonts w:hint="eastAsia" w:cs="方正仿宋_GBK" w:asciiTheme="minorEastAsia" w:hAnsiTheme="minorEastAsia" w:eastAsiaTheme="minorEastAsia"/>
          <w:color w:val="auto"/>
          <w:sz w:val="28"/>
          <w:szCs w:val="28"/>
          <w:highlight w:val="none"/>
        </w:rPr>
        <w:t>市政府采购采购代理机构库内成员，或在渝分公司属于重庆市政府采购采购代理机构库内成员</w:t>
      </w:r>
      <w:r>
        <w:rPr>
          <w:rFonts w:hint="eastAsia" w:ascii="宋体" w:hAnsi="宋体" w:cs="方正仿宋_GBK"/>
          <w:color w:val="auto"/>
          <w:sz w:val="28"/>
          <w:szCs w:val="28"/>
          <w:highlight w:val="none"/>
        </w:rPr>
        <w:t>（</w:t>
      </w:r>
      <w:r>
        <w:rPr>
          <w:rFonts w:ascii="宋体" w:hAnsi="宋体" w:cs="方正仿宋_GBK"/>
          <w:color w:val="auto"/>
          <w:sz w:val="28"/>
          <w:szCs w:val="28"/>
          <w:highlight w:val="none"/>
        </w:rPr>
        <w:t>提供重庆市政府采购网的网络截图并加盖投标单位</w:t>
      </w:r>
      <w:r>
        <w:rPr>
          <w:rFonts w:hint="eastAsia" w:ascii="宋体" w:hAnsi="宋体" w:cs="方正仿宋_GBK"/>
          <w:color w:val="auto"/>
          <w:sz w:val="28"/>
          <w:szCs w:val="28"/>
          <w:highlight w:val="none"/>
        </w:rPr>
        <w:t>或在渝分公司</w:t>
      </w:r>
      <w:r>
        <w:rPr>
          <w:rFonts w:ascii="宋体" w:hAnsi="宋体" w:cs="方正仿宋_GBK"/>
          <w:color w:val="auto"/>
          <w:sz w:val="28"/>
          <w:szCs w:val="28"/>
          <w:highlight w:val="none"/>
        </w:rPr>
        <w:t>公章</w:t>
      </w:r>
      <w:r>
        <w:rPr>
          <w:rFonts w:hint="eastAsia" w:ascii="宋体" w:hAnsi="宋体" w:cs="方正仿宋_GBK"/>
          <w:color w:val="auto"/>
          <w:sz w:val="28"/>
          <w:szCs w:val="28"/>
          <w:highlight w:val="none"/>
        </w:rPr>
        <w:t>）。</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2.分包二：现属于重庆市政府采购采购代理机构库内成员，或在渝分公司属于重庆市政府采购采购代理机构库内成员（提供重庆市政府采购网的网络截图并加盖投标单位或在渝分公司公章）。</w:t>
      </w:r>
    </w:p>
    <w:p>
      <w:pPr>
        <w:tabs>
          <w:tab w:val="left" w:pos="2688"/>
        </w:tabs>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三、投标、开标有关说明</w:t>
      </w:r>
    </w:p>
    <w:p>
      <w:pPr>
        <w:tabs>
          <w:tab w:val="left" w:pos="2688"/>
        </w:tabs>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（一）凡有意参加投标者，请于202</w:t>
      </w:r>
      <w:r>
        <w:rPr>
          <w:rFonts w:cs="方正仿宋_GBK" w:asciiTheme="minorEastAsia" w:hAnsiTheme="minorEastAsia" w:eastAsiaTheme="minorEastAsia"/>
          <w:color w:val="auto"/>
          <w:sz w:val="28"/>
          <w:szCs w:val="28"/>
          <w:highlight w:val="none"/>
        </w:rPr>
        <w:t>3</w:t>
      </w:r>
      <w:r>
        <w:rPr>
          <w:rFonts w:hint="eastAsia" w:cs="方正仿宋_GBK" w:asciiTheme="minorEastAsia" w:hAnsiTheme="minorEastAsia" w:eastAsiaTheme="minorEastAsia"/>
          <w:color w:val="auto"/>
          <w:sz w:val="28"/>
          <w:szCs w:val="28"/>
          <w:highlight w:val="none"/>
        </w:rPr>
        <w:t>年</w:t>
      </w:r>
      <w:r>
        <w:rPr>
          <w:rFonts w:hint="eastAsia" w:cs="方正仿宋_GBK" w:asciiTheme="minorEastAsia" w:hAnsiTheme="minorEastAsia" w:eastAsiaTheme="minorEastAsia"/>
          <w:color w:val="auto"/>
          <w:sz w:val="28"/>
          <w:szCs w:val="28"/>
          <w:highlight w:val="none"/>
          <w:lang w:val="en-US" w:eastAsia="zh-CN"/>
        </w:rPr>
        <w:t>7</w:t>
      </w:r>
      <w:r>
        <w:rPr>
          <w:rFonts w:hint="eastAsia" w:cs="方正仿宋_GBK" w:asciiTheme="minorEastAsia" w:hAnsiTheme="minorEastAsia" w:eastAsiaTheme="minorEastAsia"/>
          <w:color w:val="auto"/>
          <w:sz w:val="28"/>
          <w:szCs w:val="28"/>
          <w:highlight w:val="none"/>
        </w:rPr>
        <w:t>月</w:t>
      </w:r>
      <w:r>
        <w:rPr>
          <w:rFonts w:hint="eastAsia" w:cs="方正仿宋_GBK" w:asciiTheme="minorEastAsia" w:hAnsiTheme="minorEastAsia" w:eastAsiaTheme="minorEastAsia"/>
          <w:color w:val="auto"/>
          <w:sz w:val="28"/>
          <w:szCs w:val="28"/>
          <w:highlight w:val="none"/>
          <w:lang w:val="en-US" w:eastAsia="zh-CN"/>
        </w:rPr>
        <w:t>2</w:t>
      </w:r>
      <w:r>
        <w:rPr>
          <w:rFonts w:hint="eastAsia" w:cs="方正仿宋_GBK" w:asciiTheme="minorEastAsia" w:hAnsiTheme="minorEastAsia" w:eastAsiaTheme="minorEastAsia"/>
          <w:color w:val="auto"/>
          <w:sz w:val="28"/>
          <w:szCs w:val="28"/>
          <w:highlight w:val="none"/>
        </w:rPr>
        <w:t>日起在重庆工程职业技术学院官网上仔细阅读和下载：</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、图纸、补遗等开标前公布的所有项目资料。不管下载与否都视为潜在投标人全部知晓有关招投标过程和全部内容。</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（二）报名信息</w:t>
      </w:r>
    </w:p>
    <w:p>
      <w:pPr>
        <w:spacing w:line="520" w:lineRule="exact"/>
        <w:ind w:firstLine="560" w:firstLineChars="200"/>
        <w:rPr>
          <w:rFonts w:cs="方正仿宋_GBK" w:asciiTheme="minorEastAsia" w:hAnsiTheme="minorEastAsia" w:eastAsiaTheme="minorEastAsia"/>
          <w:color w:val="FF0000"/>
          <w:sz w:val="28"/>
          <w:szCs w:val="28"/>
          <w:highlight w:val="none"/>
        </w:rPr>
      </w:pPr>
      <w:r>
        <w:rPr>
          <w:rFonts w:hint="eastAsia" w:cs="方正仿宋_GBK" w:asciiTheme="minorEastAsia" w:hAnsiTheme="minorEastAsia" w:eastAsiaTheme="minorEastAsia"/>
          <w:color w:val="auto"/>
          <w:sz w:val="28"/>
          <w:szCs w:val="28"/>
          <w:highlight w:val="none"/>
        </w:rPr>
        <w:t>1.报名时间：</w:t>
      </w:r>
      <w:r>
        <w:rPr>
          <w:rFonts w:hint="eastAsia" w:cs="方正仿宋_GBK" w:asciiTheme="minorEastAsia" w:hAnsiTheme="minorEastAsia" w:eastAsiaTheme="minorEastAsia"/>
          <w:color w:val="FF0000"/>
          <w:sz w:val="28"/>
          <w:szCs w:val="28"/>
          <w:highlight w:val="none"/>
        </w:rPr>
        <w:t>202</w:t>
      </w:r>
      <w:r>
        <w:rPr>
          <w:rFonts w:cs="方正仿宋_GBK" w:asciiTheme="minorEastAsia" w:hAnsiTheme="minorEastAsia" w:eastAsiaTheme="minorEastAsia"/>
          <w:color w:val="FF0000"/>
          <w:sz w:val="28"/>
          <w:szCs w:val="28"/>
          <w:highlight w:val="none"/>
        </w:rPr>
        <w:t>3</w:t>
      </w:r>
      <w:r>
        <w:rPr>
          <w:rFonts w:hint="eastAsia" w:cs="方正仿宋_GBK" w:asciiTheme="minorEastAsia" w:hAnsiTheme="minorEastAsia" w:eastAsiaTheme="minorEastAsia"/>
          <w:color w:val="FF0000"/>
          <w:sz w:val="28"/>
          <w:szCs w:val="28"/>
          <w:highlight w:val="none"/>
        </w:rPr>
        <w:t>年</w:t>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月</w:t>
      </w:r>
      <w:r>
        <w:rPr>
          <w:rFonts w:hint="eastAsia" w:cs="方正仿宋_GBK" w:asciiTheme="minorEastAsia" w:hAnsiTheme="minorEastAsia" w:eastAsiaTheme="minorEastAsia"/>
          <w:color w:val="FF0000"/>
          <w:sz w:val="28"/>
          <w:szCs w:val="28"/>
          <w:highlight w:val="none"/>
          <w:lang w:val="en-US" w:eastAsia="zh-CN"/>
        </w:rPr>
        <w:t>2</w:t>
      </w:r>
      <w:r>
        <w:rPr>
          <w:rFonts w:hint="eastAsia" w:cs="方正仿宋_GBK" w:asciiTheme="minorEastAsia" w:hAnsiTheme="minorEastAsia" w:eastAsiaTheme="minorEastAsia"/>
          <w:color w:val="FF0000"/>
          <w:sz w:val="28"/>
          <w:szCs w:val="28"/>
          <w:highlight w:val="none"/>
        </w:rPr>
        <w:t>日至202</w:t>
      </w:r>
      <w:r>
        <w:rPr>
          <w:rFonts w:cs="方正仿宋_GBK" w:asciiTheme="minorEastAsia" w:hAnsiTheme="minorEastAsia" w:eastAsiaTheme="minorEastAsia"/>
          <w:color w:val="FF0000"/>
          <w:sz w:val="28"/>
          <w:szCs w:val="28"/>
          <w:highlight w:val="none"/>
        </w:rPr>
        <w:t>3</w:t>
      </w:r>
      <w:r>
        <w:rPr>
          <w:rFonts w:hint="eastAsia" w:cs="方正仿宋_GBK" w:asciiTheme="minorEastAsia" w:hAnsiTheme="minorEastAsia" w:eastAsiaTheme="minorEastAsia"/>
          <w:color w:val="FF0000"/>
          <w:sz w:val="28"/>
          <w:szCs w:val="28"/>
          <w:highlight w:val="none"/>
        </w:rPr>
        <w:t>年</w:t>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月</w:t>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日1</w:t>
      </w:r>
      <w:r>
        <w:rPr>
          <w:rFonts w:cs="方正仿宋_GBK" w:asciiTheme="minorEastAsia" w:hAnsiTheme="minorEastAsia" w:eastAsiaTheme="minorEastAsia"/>
          <w:color w:val="FF0000"/>
          <w:sz w:val="28"/>
          <w:szCs w:val="28"/>
          <w:highlight w:val="none"/>
        </w:rPr>
        <w:t>7</w:t>
      </w:r>
      <w:r>
        <w:rPr>
          <w:rFonts w:hint="eastAsia" w:cs="方正仿宋_GBK" w:asciiTheme="minorEastAsia" w:hAnsiTheme="minorEastAsia" w:eastAsiaTheme="minorEastAsia"/>
          <w:color w:val="FF0000"/>
          <w:sz w:val="28"/>
          <w:szCs w:val="28"/>
          <w:highlight w:val="none"/>
        </w:rPr>
        <w:t>:00</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2.报名方式：</w:t>
      </w:r>
      <w:r>
        <w:rPr>
          <w:color w:val="auto"/>
          <w:highlight w:val="none"/>
        </w:rPr>
        <w:fldChar w:fldCharType="begin"/>
      </w:r>
      <w:r>
        <w:rPr>
          <w:color w:val="auto"/>
          <w:highlight w:val="none"/>
        </w:rPr>
        <w:instrText xml:space="preserve"> HYPERLINK "mailto:在投标报名期限内，投标申请人将《报名表》（加盖投标申请人公章）扫描后发送至277578506@qq.com（邮箱），未在报名截止期限（2022年" </w:instrText>
      </w:r>
      <w:r>
        <w:rPr>
          <w:color w:val="auto"/>
          <w:highlight w:val="none"/>
        </w:rPr>
        <w:fldChar w:fldCharType="separate"/>
      </w:r>
      <w:r>
        <w:rPr>
          <w:rFonts w:hint="eastAsia" w:cs="方正仿宋_GBK" w:asciiTheme="minorEastAsia" w:hAnsiTheme="minorEastAsia" w:eastAsiaTheme="minorEastAsia"/>
          <w:color w:val="auto"/>
          <w:sz w:val="28"/>
          <w:szCs w:val="28"/>
          <w:highlight w:val="none"/>
        </w:rPr>
        <w:t>在投标报名期限内，</w:t>
      </w:r>
      <w:bookmarkStart w:id="3" w:name="_Hlk127524232"/>
      <w:r>
        <w:rPr>
          <w:rFonts w:hint="eastAsia" w:cs="方正仿宋_GBK" w:asciiTheme="minorEastAsia" w:hAnsiTheme="minorEastAsia" w:eastAsiaTheme="minorEastAsia"/>
          <w:color w:val="auto"/>
          <w:sz w:val="28"/>
          <w:szCs w:val="28"/>
          <w:highlight w:val="none"/>
        </w:rPr>
        <w:t>投标申请人</w:t>
      </w:r>
      <w:bookmarkEnd w:id="3"/>
      <w:r>
        <w:rPr>
          <w:rFonts w:hint="eastAsia" w:cs="方正仿宋_GBK" w:asciiTheme="minorEastAsia" w:hAnsiTheme="minorEastAsia" w:eastAsiaTheme="minorEastAsia"/>
          <w:color w:val="auto"/>
          <w:sz w:val="28"/>
          <w:szCs w:val="28"/>
          <w:highlight w:val="none"/>
        </w:rPr>
        <w:t>将 《投标报名表》（格式见</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附件1）纸质件加盖投标申请人公章）扫描后发送至1252478819@qq.com（邮箱），未在报名截止期限（</w:t>
      </w:r>
      <w:r>
        <w:rPr>
          <w:rFonts w:hint="eastAsia" w:cs="方正仿宋_GBK" w:asciiTheme="minorEastAsia" w:hAnsiTheme="minorEastAsia" w:eastAsiaTheme="minorEastAsia"/>
          <w:color w:val="FF0000"/>
          <w:sz w:val="28"/>
          <w:szCs w:val="28"/>
          <w:highlight w:val="none"/>
        </w:rPr>
        <w:t>202</w:t>
      </w:r>
      <w:r>
        <w:rPr>
          <w:rFonts w:cs="方正仿宋_GBK" w:asciiTheme="minorEastAsia" w:hAnsiTheme="minorEastAsia" w:eastAsiaTheme="minorEastAsia"/>
          <w:color w:val="FF0000"/>
          <w:sz w:val="28"/>
          <w:szCs w:val="28"/>
          <w:highlight w:val="none"/>
        </w:rPr>
        <w:t>3</w:t>
      </w:r>
      <w:r>
        <w:rPr>
          <w:rFonts w:hint="eastAsia" w:cs="方正仿宋_GBK" w:asciiTheme="minorEastAsia" w:hAnsiTheme="minorEastAsia" w:eastAsiaTheme="minorEastAsia"/>
          <w:color w:val="FF0000"/>
          <w:sz w:val="28"/>
          <w:szCs w:val="28"/>
          <w:highlight w:val="none"/>
        </w:rPr>
        <w:t>年</w:t>
      </w:r>
      <w:r>
        <w:rPr>
          <w:rFonts w:hint="eastAsia" w:cs="方正仿宋_GBK" w:asciiTheme="minorEastAsia" w:hAnsiTheme="minorEastAsia" w:eastAsiaTheme="minorEastAsia"/>
          <w:color w:val="auto"/>
          <w:sz w:val="28"/>
          <w:szCs w:val="28"/>
          <w:highlight w:val="none"/>
        </w:rPr>
        <w:fldChar w:fldCharType="end"/>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月</w:t>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日</w:t>
      </w:r>
      <w:r>
        <w:rPr>
          <w:rFonts w:hint="eastAsia" w:cs="方正仿宋_GBK" w:asciiTheme="minorEastAsia" w:hAnsiTheme="minorEastAsia" w:eastAsiaTheme="minorEastAsia"/>
          <w:color w:val="auto"/>
          <w:sz w:val="28"/>
          <w:szCs w:val="28"/>
          <w:highlight w:val="none"/>
        </w:rPr>
        <w:t>1</w:t>
      </w:r>
      <w:r>
        <w:rPr>
          <w:rFonts w:cs="方正仿宋_GBK" w:asciiTheme="minorEastAsia" w:hAnsiTheme="minorEastAsia" w:eastAsiaTheme="minorEastAsia"/>
          <w:color w:val="auto"/>
          <w:sz w:val="28"/>
          <w:szCs w:val="28"/>
          <w:highlight w:val="none"/>
        </w:rPr>
        <w:t>7</w:t>
      </w:r>
      <w:r>
        <w:rPr>
          <w:rFonts w:hint="eastAsia" w:cs="方正仿宋_GBK" w:asciiTheme="minorEastAsia" w:hAnsiTheme="minorEastAsia" w:eastAsiaTheme="minorEastAsia"/>
          <w:color w:val="auto"/>
          <w:sz w:val="28"/>
          <w:szCs w:val="28"/>
          <w:highlight w:val="none"/>
        </w:rPr>
        <w:t>:00）前发送 《投标报名表》的，其报名和投标无效。报名联系人：罗老师：0</w:t>
      </w:r>
      <w:r>
        <w:rPr>
          <w:rFonts w:cs="方正仿宋_GBK" w:asciiTheme="minorEastAsia" w:hAnsiTheme="minorEastAsia" w:eastAsiaTheme="minorEastAsia"/>
          <w:color w:val="auto"/>
          <w:sz w:val="28"/>
          <w:szCs w:val="28"/>
          <w:highlight w:val="none"/>
        </w:rPr>
        <w:t>23-</w:t>
      </w:r>
      <w:r>
        <w:rPr>
          <w:rFonts w:hint="eastAsia" w:cs="方正仿宋_GBK" w:asciiTheme="minorEastAsia" w:hAnsiTheme="minorEastAsia" w:eastAsiaTheme="minorEastAsia"/>
          <w:color w:val="auto"/>
          <w:sz w:val="28"/>
          <w:szCs w:val="28"/>
          <w:highlight w:val="none"/>
        </w:rPr>
        <w:t>61065905。</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（三）投标人须满足以下三种要件，其响应文件才被接受：</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1.按时递交了响应文件；</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2.按规定时间和方式按时报名；</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3.缴纳了</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（提交</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转账凭据复印件并加盖鲜章）。</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（四）开标地点：重庆工程职业技术学院树人楼三楼1325室（重庆市江津区圣泉街道南北大道南段1111号）</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（五）提交响应文件开始时间：</w:t>
      </w:r>
      <w:r>
        <w:rPr>
          <w:rFonts w:hint="eastAsia" w:cs="方正仿宋_GBK" w:asciiTheme="minorEastAsia" w:hAnsiTheme="minorEastAsia" w:eastAsiaTheme="minorEastAsia"/>
          <w:color w:val="FF0000"/>
          <w:sz w:val="28"/>
          <w:szCs w:val="28"/>
          <w:highlight w:val="none"/>
        </w:rPr>
        <w:t>202</w:t>
      </w:r>
      <w:r>
        <w:rPr>
          <w:rFonts w:cs="方正仿宋_GBK" w:asciiTheme="minorEastAsia" w:hAnsiTheme="minorEastAsia" w:eastAsiaTheme="minorEastAsia"/>
          <w:color w:val="FF0000"/>
          <w:sz w:val="28"/>
          <w:szCs w:val="28"/>
          <w:highlight w:val="none"/>
        </w:rPr>
        <w:t>3</w:t>
      </w:r>
      <w:r>
        <w:rPr>
          <w:rFonts w:hint="eastAsia" w:cs="方正仿宋_GBK" w:asciiTheme="minorEastAsia" w:hAnsiTheme="minorEastAsia" w:eastAsiaTheme="minorEastAsia"/>
          <w:color w:val="FF0000"/>
          <w:sz w:val="28"/>
          <w:szCs w:val="28"/>
          <w:highlight w:val="none"/>
        </w:rPr>
        <w:t>年</w:t>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月</w:t>
      </w:r>
      <w:r>
        <w:rPr>
          <w:rFonts w:hint="eastAsia" w:cs="方正仿宋_GBK" w:asciiTheme="minorEastAsia" w:hAnsiTheme="minorEastAsia" w:eastAsiaTheme="minorEastAsia"/>
          <w:color w:val="FF0000"/>
          <w:sz w:val="28"/>
          <w:szCs w:val="28"/>
          <w:highlight w:val="none"/>
          <w:lang w:val="en-US" w:eastAsia="zh-CN"/>
        </w:rPr>
        <w:t>13</w:t>
      </w:r>
      <w:r>
        <w:rPr>
          <w:rFonts w:hint="eastAsia" w:cs="方正仿宋_GBK" w:asciiTheme="minorEastAsia" w:hAnsiTheme="minorEastAsia" w:eastAsiaTheme="minorEastAsia"/>
          <w:color w:val="FF0000"/>
          <w:sz w:val="28"/>
          <w:szCs w:val="28"/>
          <w:highlight w:val="none"/>
        </w:rPr>
        <w:t>日</w:t>
      </w:r>
      <w:r>
        <w:rPr>
          <w:rFonts w:hint="eastAsia" w:cs="方正仿宋_GBK" w:asciiTheme="minorEastAsia" w:hAnsiTheme="minorEastAsia" w:eastAsiaTheme="minorEastAsia"/>
          <w:color w:val="auto"/>
          <w:sz w:val="28"/>
          <w:szCs w:val="28"/>
          <w:highlight w:val="none"/>
        </w:rPr>
        <w:t>北京时间</w:t>
      </w:r>
      <w:r>
        <w:rPr>
          <w:rFonts w:hint="eastAsia" w:cs="方正仿宋_GBK" w:asciiTheme="minorEastAsia" w:hAnsiTheme="minorEastAsia" w:eastAsiaTheme="minorEastAsia"/>
          <w:color w:val="auto"/>
          <w:sz w:val="28"/>
          <w:szCs w:val="28"/>
          <w:highlight w:val="none"/>
          <w:lang w:val="en-US" w:eastAsia="zh-CN"/>
        </w:rPr>
        <w:t>9</w:t>
      </w: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3</w:t>
      </w:r>
      <w:r>
        <w:rPr>
          <w:rFonts w:hint="eastAsia" w:cs="方正仿宋_GBK" w:asciiTheme="minorEastAsia" w:hAnsiTheme="minorEastAsia" w:eastAsiaTheme="minorEastAsia"/>
          <w:color w:val="auto"/>
          <w:sz w:val="28"/>
          <w:szCs w:val="28"/>
          <w:highlight w:val="none"/>
        </w:rPr>
        <w:t>0</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（六）提交响应文件截止时间：</w:t>
      </w:r>
      <w:r>
        <w:rPr>
          <w:rFonts w:hint="eastAsia" w:cs="方正仿宋_GBK" w:asciiTheme="minorEastAsia" w:hAnsiTheme="minorEastAsia" w:eastAsiaTheme="minorEastAsia"/>
          <w:color w:val="FF0000"/>
          <w:sz w:val="28"/>
          <w:szCs w:val="28"/>
          <w:highlight w:val="none"/>
        </w:rPr>
        <w:t>202</w:t>
      </w:r>
      <w:r>
        <w:rPr>
          <w:rFonts w:cs="方正仿宋_GBK" w:asciiTheme="minorEastAsia" w:hAnsiTheme="minorEastAsia" w:eastAsiaTheme="minorEastAsia"/>
          <w:color w:val="FF0000"/>
          <w:sz w:val="28"/>
          <w:szCs w:val="28"/>
          <w:highlight w:val="none"/>
        </w:rPr>
        <w:t>3</w:t>
      </w:r>
      <w:r>
        <w:rPr>
          <w:rFonts w:hint="eastAsia" w:cs="方正仿宋_GBK" w:asciiTheme="minorEastAsia" w:hAnsiTheme="minorEastAsia" w:eastAsiaTheme="minorEastAsia"/>
          <w:color w:val="FF0000"/>
          <w:sz w:val="28"/>
          <w:szCs w:val="28"/>
          <w:highlight w:val="none"/>
        </w:rPr>
        <w:t>年</w:t>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月</w:t>
      </w:r>
      <w:r>
        <w:rPr>
          <w:rFonts w:hint="eastAsia" w:cs="方正仿宋_GBK" w:asciiTheme="minorEastAsia" w:hAnsiTheme="minorEastAsia" w:eastAsiaTheme="minorEastAsia"/>
          <w:color w:val="FF0000"/>
          <w:sz w:val="28"/>
          <w:szCs w:val="28"/>
          <w:highlight w:val="none"/>
          <w:lang w:val="en-US" w:eastAsia="zh-CN"/>
        </w:rPr>
        <w:t>13</w:t>
      </w:r>
      <w:r>
        <w:rPr>
          <w:rFonts w:hint="eastAsia" w:cs="方正仿宋_GBK" w:asciiTheme="minorEastAsia" w:hAnsiTheme="minorEastAsia" w:eastAsiaTheme="minorEastAsia"/>
          <w:color w:val="FF0000"/>
          <w:sz w:val="28"/>
          <w:szCs w:val="28"/>
          <w:highlight w:val="none"/>
        </w:rPr>
        <w:t>日</w:t>
      </w:r>
      <w:r>
        <w:rPr>
          <w:rFonts w:hint="eastAsia" w:cs="方正仿宋_GBK" w:asciiTheme="minorEastAsia" w:hAnsiTheme="minorEastAsia" w:eastAsiaTheme="minorEastAsia"/>
          <w:color w:val="auto"/>
          <w:sz w:val="28"/>
          <w:szCs w:val="28"/>
          <w:highlight w:val="none"/>
        </w:rPr>
        <w:t>北京时间</w:t>
      </w:r>
      <w:r>
        <w:rPr>
          <w:rFonts w:hint="eastAsia" w:cs="方正仿宋_GBK" w:asciiTheme="minorEastAsia" w:hAnsiTheme="minorEastAsia" w:eastAsiaTheme="minorEastAsia"/>
          <w:color w:val="auto"/>
          <w:sz w:val="28"/>
          <w:szCs w:val="28"/>
          <w:highlight w:val="none"/>
          <w:lang w:val="en-US" w:eastAsia="zh-CN"/>
        </w:rPr>
        <w:t>10</w:t>
      </w: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0</w:t>
      </w:r>
      <w:r>
        <w:rPr>
          <w:rFonts w:hint="eastAsia" w:cs="方正仿宋_GBK" w:asciiTheme="minorEastAsia" w:hAnsiTheme="minorEastAsia" w:eastAsiaTheme="minorEastAsia"/>
          <w:color w:val="auto"/>
          <w:sz w:val="28"/>
          <w:szCs w:val="28"/>
          <w:highlight w:val="none"/>
        </w:rPr>
        <w:t>0</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（七）开标时间：</w:t>
      </w:r>
      <w:r>
        <w:rPr>
          <w:rFonts w:hint="eastAsia" w:cs="方正仿宋_GBK" w:asciiTheme="minorEastAsia" w:hAnsiTheme="minorEastAsia" w:eastAsiaTheme="minorEastAsia"/>
          <w:color w:val="FF0000"/>
          <w:sz w:val="28"/>
          <w:szCs w:val="28"/>
          <w:highlight w:val="none"/>
        </w:rPr>
        <w:t>202</w:t>
      </w:r>
      <w:r>
        <w:rPr>
          <w:rFonts w:cs="方正仿宋_GBK" w:asciiTheme="minorEastAsia" w:hAnsiTheme="minorEastAsia" w:eastAsiaTheme="minorEastAsia"/>
          <w:color w:val="FF0000"/>
          <w:sz w:val="28"/>
          <w:szCs w:val="28"/>
          <w:highlight w:val="none"/>
        </w:rPr>
        <w:t>3</w:t>
      </w:r>
      <w:r>
        <w:rPr>
          <w:rFonts w:hint="eastAsia" w:cs="方正仿宋_GBK" w:asciiTheme="minorEastAsia" w:hAnsiTheme="minorEastAsia" w:eastAsiaTheme="minorEastAsia"/>
          <w:color w:val="FF0000"/>
          <w:sz w:val="28"/>
          <w:szCs w:val="28"/>
          <w:highlight w:val="none"/>
        </w:rPr>
        <w:t>年</w:t>
      </w:r>
      <w:r>
        <w:rPr>
          <w:rFonts w:hint="eastAsia" w:cs="方正仿宋_GBK" w:asciiTheme="minorEastAsia" w:hAnsiTheme="minorEastAsia" w:eastAsiaTheme="minorEastAsia"/>
          <w:color w:val="FF0000"/>
          <w:sz w:val="28"/>
          <w:szCs w:val="28"/>
          <w:highlight w:val="none"/>
          <w:lang w:val="en-US" w:eastAsia="zh-CN"/>
        </w:rPr>
        <w:t>7</w:t>
      </w:r>
      <w:r>
        <w:rPr>
          <w:rFonts w:hint="eastAsia" w:cs="方正仿宋_GBK" w:asciiTheme="minorEastAsia" w:hAnsiTheme="minorEastAsia" w:eastAsiaTheme="minorEastAsia"/>
          <w:color w:val="FF0000"/>
          <w:sz w:val="28"/>
          <w:szCs w:val="28"/>
          <w:highlight w:val="none"/>
        </w:rPr>
        <w:t>月</w:t>
      </w:r>
      <w:r>
        <w:rPr>
          <w:rFonts w:hint="eastAsia" w:cs="方正仿宋_GBK" w:asciiTheme="minorEastAsia" w:hAnsiTheme="minorEastAsia" w:eastAsiaTheme="minorEastAsia"/>
          <w:color w:val="FF0000"/>
          <w:sz w:val="28"/>
          <w:szCs w:val="28"/>
          <w:highlight w:val="none"/>
          <w:lang w:val="en-US" w:eastAsia="zh-CN"/>
        </w:rPr>
        <w:t>13</w:t>
      </w:r>
      <w:r>
        <w:rPr>
          <w:rFonts w:hint="eastAsia" w:cs="方正仿宋_GBK" w:asciiTheme="minorEastAsia" w:hAnsiTheme="minorEastAsia" w:eastAsiaTheme="minorEastAsia"/>
          <w:color w:val="FF0000"/>
          <w:sz w:val="28"/>
          <w:szCs w:val="28"/>
          <w:highlight w:val="none"/>
        </w:rPr>
        <w:t>日</w:t>
      </w:r>
      <w:r>
        <w:rPr>
          <w:rFonts w:hint="eastAsia" w:cs="方正仿宋_GBK" w:asciiTheme="minorEastAsia" w:hAnsiTheme="minorEastAsia" w:eastAsiaTheme="minorEastAsia"/>
          <w:color w:val="auto"/>
          <w:sz w:val="28"/>
          <w:szCs w:val="28"/>
          <w:highlight w:val="none"/>
        </w:rPr>
        <w:t>北京时间</w:t>
      </w:r>
      <w:r>
        <w:rPr>
          <w:rFonts w:hint="eastAsia" w:cs="方正仿宋_GBK" w:asciiTheme="minorEastAsia" w:hAnsiTheme="minorEastAsia" w:eastAsiaTheme="minorEastAsia"/>
          <w:color w:val="auto"/>
          <w:sz w:val="28"/>
          <w:szCs w:val="28"/>
          <w:highlight w:val="none"/>
          <w:lang w:val="en-US" w:eastAsia="zh-CN"/>
        </w:rPr>
        <w:t>10</w:t>
      </w: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0</w:t>
      </w:r>
      <w:r>
        <w:rPr>
          <w:rFonts w:hint="eastAsia" w:cs="方正仿宋_GBK" w:asciiTheme="minorEastAsia" w:hAnsiTheme="minorEastAsia" w:eastAsiaTheme="minorEastAsia"/>
          <w:color w:val="auto"/>
          <w:sz w:val="28"/>
          <w:szCs w:val="28"/>
          <w:highlight w:val="none"/>
        </w:rPr>
        <w:t>0</w:t>
      </w:r>
    </w:p>
    <w:p>
      <w:pPr>
        <w:pStyle w:val="7"/>
        <w:spacing w:before="0" w:after="0" w:line="520" w:lineRule="exact"/>
        <w:ind w:firstLine="562" w:firstLineChars="200"/>
        <w:rPr>
          <w:rFonts w:hint="eastAsia" w:cs="方正仿宋_GBK" w:asciiTheme="minorEastAsia" w:hAnsiTheme="minorEastAsia" w:eastAsiaTheme="minorEastAsia"/>
          <w:color w:val="auto"/>
          <w:sz w:val="28"/>
          <w:szCs w:val="28"/>
          <w:highlight w:val="none"/>
          <w:lang w:eastAsia="zh-CN"/>
        </w:rPr>
      </w:pPr>
      <w:r>
        <w:rPr>
          <w:rFonts w:hint="eastAsia" w:cs="方正仿宋_GBK" w:asciiTheme="minorEastAsia" w:hAnsiTheme="minorEastAsia" w:eastAsiaTheme="minorEastAsia"/>
          <w:color w:val="auto"/>
          <w:sz w:val="28"/>
          <w:szCs w:val="28"/>
          <w:highlight w:val="none"/>
        </w:rPr>
        <w:t>四、</w:t>
      </w:r>
      <w:r>
        <w:rPr>
          <w:rFonts w:hint="eastAsia" w:cs="方正仿宋_GBK" w:asciiTheme="minorEastAsia" w:hAnsiTheme="minorEastAsia" w:eastAsiaTheme="minorEastAsia"/>
          <w:color w:val="auto"/>
          <w:sz w:val="28"/>
          <w:szCs w:val="28"/>
          <w:highlight w:val="none"/>
          <w:lang w:eastAsia="zh-CN"/>
        </w:rPr>
        <w:t>磋商保证金</w:t>
      </w:r>
    </w:p>
    <w:p>
      <w:pPr>
        <w:spacing w:line="520" w:lineRule="exact"/>
        <w:ind w:firstLine="560" w:firstLineChars="200"/>
        <w:rPr>
          <w:rFonts w:cs="方正仿宋_GBK" w:asciiTheme="minorEastAsia" w:hAnsiTheme="minorEastAsia" w:eastAsiaTheme="minorEastAsia"/>
          <w:color w:val="auto"/>
          <w:sz w:val="28"/>
          <w:szCs w:val="28"/>
          <w:highlight w:val="none"/>
        </w:rPr>
      </w:pPr>
      <w:bookmarkStart w:id="4" w:name="_Toc466546907"/>
      <w:r>
        <w:rPr>
          <w:rFonts w:hint="eastAsia" w:cs="方正仿宋_GBK" w:asciiTheme="minorEastAsia" w:hAnsiTheme="minorEastAsia" w:eastAsiaTheme="minorEastAsia"/>
          <w:color w:val="auto"/>
          <w:sz w:val="28"/>
          <w:szCs w:val="28"/>
          <w:highlight w:val="none"/>
        </w:rPr>
        <w:t>（一）缴纳保证金方式</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w:t>
      </w: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的金额：¥10</w:t>
      </w:r>
      <w:r>
        <w:rPr>
          <w:rFonts w:cs="方正仿宋_GBK" w:asciiTheme="minorEastAsia" w:hAnsiTheme="minorEastAsia" w:eastAsiaTheme="minorEastAsia"/>
          <w:color w:val="auto"/>
          <w:sz w:val="28"/>
          <w:szCs w:val="28"/>
          <w:highlight w:val="none"/>
        </w:rPr>
        <w:t>000</w:t>
      </w:r>
      <w:r>
        <w:rPr>
          <w:rFonts w:hint="eastAsia" w:cs="方正仿宋_GBK" w:asciiTheme="minorEastAsia" w:hAnsiTheme="minorEastAsia" w:eastAsiaTheme="minorEastAsia"/>
          <w:color w:val="auto"/>
          <w:sz w:val="28"/>
          <w:szCs w:val="28"/>
          <w:highlight w:val="none"/>
        </w:rPr>
        <w:t>元（人民币壹万元整）</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2</w:t>
      </w:r>
      <w:r>
        <w:rPr>
          <w:rFonts w:hint="eastAsia" w:cs="方正仿宋_GBK" w:asciiTheme="minorEastAsia" w:hAnsiTheme="minorEastAsia" w:eastAsiaTheme="minorEastAsia"/>
          <w:color w:val="auto"/>
          <w:sz w:val="28"/>
          <w:szCs w:val="28"/>
          <w:highlight w:val="none"/>
        </w:rPr>
        <w:t>.投标人须按本项目规定的保证金数额进行缴纳，由投标人从其基本账户将保证金汇至重庆工程职业技术学院的账号上，且在2023年</w:t>
      </w:r>
      <w:r>
        <w:rPr>
          <w:rFonts w:hint="eastAsia" w:cs="方正仿宋_GBK" w:asciiTheme="minorEastAsia" w:hAnsiTheme="minorEastAsia" w:eastAsiaTheme="minorEastAsia"/>
          <w:color w:val="auto"/>
          <w:sz w:val="28"/>
          <w:szCs w:val="28"/>
          <w:highlight w:val="none"/>
          <w:lang w:val="en-US" w:eastAsia="zh-CN"/>
        </w:rPr>
        <w:t>7</w:t>
      </w:r>
      <w:r>
        <w:rPr>
          <w:rFonts w:hint="eastAsia" w:cs="方正仿宋_GBK" w:asciiTheme="minorEastAsia" w:hAnsiTheme="minorEastAsia" w:eastAsiaTheme="minorEastAsia"/>
          <w:color w:val="auto"/>
          <w:sz w:val="28"/>
          <w:szCs w:val="28"/>
          <w:highlight w:val="none"/>
        </w:rPr>
        <w:t>月</w:t>
      </w:r>
      <w:r>
        <w:rPr>
          <w:rFonts w:hint="eastAsia" w:cs="方正仿宋_GBK" w:asciiTheme="minorEastAsia" w:hAnsiTheme="minorEastAsia" w:eastAsiaTheme="minorEastAsia"/>
          <w:color w:val="auto"/>
          <w:sz w:val="28"/>
          <w:szCs w:val="28"/>
          <w:highlight w:val="none"/>
          <w:lang w:val="en-US" w:eastAsia="zh-CN"/>
        </w:rPr>
        <w:t>13</w:t>
      </w:r>
      <w:r>
        <w:rPr>
          <w:rFonts w:hint="eastAsia" w:cs="方正仿宋_GBK" w:asciiTheme="minorEastAsia" w:hAnsiTheme="minorEastAsia" w:eastAsiaTheme="minorEastAsia"/>
          <w:color w:val="auto"/>
          <w:sz w:val="28"/>
          <w:szCs w:val="28"/>
          <w:highlight w:val="none"/>
        </w:rPr>
        <w:t>日1</w:t>
      </w:r>
      <w:r>
        <w:rPr>
          <w:rFonts w:hint="eastAsia" w:cs="方正仿宋_GBK" w:asciiTheme="minorEastAsia" w:hAnsiTheme="minorEastAsia" w:eastAsiaTheme="minorEastAsia"/>
          <w:color w:val="auto"/>
          <w:sz w:val="28"/>
          <w:szCs w:val="28"/>
          <w:highlight w:val="none"/>
        </w:rPr>
        <w:t>0:00 前必须到账。递交保证金账户</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户  名：重庆工程职业技术学院</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开户行：建行重庆沙坪坝上桥支行</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账  号：50001053700050001096</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（1）务必在转账凭证上备注“CQVIE20230522”以及“</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”字样，未注明者造成的一切后果自负；</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（2）各投标人在银行转账（电汇）时，须充分考虑银行转账（电汇）的时间差风险，如同城转账、异地转账或汇款、跨行转账或电汇的时间要求。</w:t>
      </w:r>
    </w:p>
    <w:p>
      <w:pPr>
        <w:snapToGrid w:val="0"/>
        <w:spacing w:line="380" w:lineRule="exact"/>
        <w:ind w:firstLine="560" w:firstLineChars="200"/>
        <w:textAlignment w:val="baseline"/>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（3）各投标人在递交保证金时，到款账户为上述指定的保证金专用账户，来款账户必须为本公司基本账户。</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（4）在提交响应文件截止时间前, 投标人凭缴纳凭证（原件或复印件）到采购人树人楼二楼1212室开具到账凭据后，开标现场提交《</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登记表》（格式见</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附件</w:t>
      </w:r>
      <w:r>
        <w:rPr>
          <w:rFonts w:hint="eastAsia" w:cs="方正仿宋_GBK" w:asciiTheme="minorEastAsia" w:hAnsiTheme="minorEastAsia" w:eastAsiaTheme="minorEastAsia"/>
          <w:color w:val="auto"/>
          <w:sz w:val="28"/>
          <w:szCs w:val="28"/>
          <w:highlight w:val="none"/>
          <w:lang w:val="en-US" w:eastAsia="zh-CN"/>
        </w:rPr>
        <w:t>2</w:t>
      </w:r>
      <w:r>
        <w:rPr>
          <w:rFonts w:hint="eastAsia" w:cs="方正仿宋_GBK" w:asciiTheme="minorEastAsia" w:hAnsiTheme="minorEastAsia" w:eastAsiaTheme="minorEastAsia"/>
          <w:color w:val="auto"/>
          <w:sz w:val="28"/>
          <w:szCs w:val="28"/>
          <w:highlight w:val="none"/>
        </w:rPr>
        <w:t>）纸质件。未按上述规定方式提交材料，导致其保证金延迟退还的，其责任由投标人自行承担。</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（二）保证金退还方式</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1.未中标投标人的</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，采购人在确定中标人后，5个工作日内按来款渠道无息退还</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rPr>
        <w:t>中标人</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lang w:val="en-US" w:eastAsia="zh-CN"/>
        </w:rPr>
        <w:t>直接转为履约保证金</w:t>
      </w:r>
      <w:r>
        <w:rPr>
          <w:rFonts w:hint="eastAsia" w:cs="方正仿宋_GBK" w:asciiTheme="minorEastAsia" w:hAnsiTheme="minorEastAsia" w:eastAsiaTheme="minorEastAsia"/>
          <w:color w:val="auto"/>
          <w:sz w:val="28"/>
          <w:szCs w:val="28"/>
          <w:highlight w:val="none"/>
        </w:rPr>
        <w:t>。</w:t>
      </w:r>
    </w:p>
    <w:p>
      <w:pPr>
        <w:pStyle w:val="7"/>
        <w:spacing w:before="0" w:after="0" w:line="520" w:lineRule="exact"/>
        <w:ind w:firstLine="562"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五、其它有关规定</w:t>
      </w:r>
      <w:bookmarkEnd w:id="4"/>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（一）为采购项目提供整体设计、规范编制或者项目管理、监理、检测等服务的投标人，不得再</w:t>
      </w:r>
      <w:r>
        <w:rPr>
          <w:rFonts w:cs="方正仿宋_GBK" w:asciiTheme="minorEastAsia" w:hAnsiTheme="minorEastAsia" w:eastAsiaTheme="minorEastAsia"/>
          <w:color w:val="auto"/>
          <w:sz w:val="28"/>
          <w:szCs w:val="28"/>
          <w:highlight w:val="none"/>
        </w:rPr>
        <w:t>参加</w:t>
      </w:r>
      <w:r>
        <w:rPr>
          <w:rFonts w:hint="eastAsia" w:cs="方正仿宋_GBK" w:asciiTheme="minorEastAsia" w:hAnsiTheme="minorEastAsia" w:eastAsiaTheme="minorEastAsia"/>
          <w:color w:val="auto"/>
          <w:sz w:val="28"/>
          <w:szCs w:val="28"/>
          <w:highlight w:val="none"/>
        </w:rPr>
        <w:t>该采购</w:t>
      </w:r>
      <w:r>
        <w:rPr>
          <w:rFonts w:cs="方正仿宋_GBK" w:asciiTheme="minorEastAsia" w:hAnsiTheme="minorEastAsia" w:eastAsiaTheme="minorEastAsia"/>
          <w:color w:val="auto"/>
          <w:sz w:val="28"/>
          <w:szCs w:val="28"/>
          <w:highlight w:val="none"/>
        </w:rPr>
        <w:t>项目的</w:t>
      </w:r>
      <w:r>
        <w:rPr>
          <w:rFonts w:hint="eastAsia" w:cs="方正仿宋_GBK" w:asciiTheme="minorEastAsia" w:hAnsiTheme="minorEastAsia" w:eastAsiaTheme="minorEastAsia"/>
          <w:color w:val="auto"/>
          <w:sz w:val="28"/>
          <w:szCs w:val="28"/>
          <w:highlight w:val="none"/>
        </w:rPr>
        <w:t>其他</w:t>
      </w:r>
      <w:r>
        <w:rPr>
          <w:rFonts w:cs="方正仿宋_GBK" w:asciiTheme="minorEastAsia" w:hAnsiTheme="minorEastAsia" w:eastAsiaTheme="minorEastAsia"/>
          <w:color w:val="auto"/>
          <w:sz w:val="28"/>
          <w:szCs w:val="28"/>
          <w:highlight w:val="none"/>
        </w:rPr>
        <w:t>采购活动</w:t>
      </w:r>
      <w:r>
        <w:rPr>
          <w:rFonts w:hint="eastAsia" w:cs="方正仿宋_GBK" w:asciiTheme="minorEastAsia" w:hAnsiTheme="minorEastAsia" w:eastAsiaTheme="minorEastAsia"/>
          <w:color w:val="auto"/>
          <w:sz w:val="28"/>
          <w:szCs w:val="28"/>
          <w:highlight w:val="none"/>
        </w:rPr>
        <w:t>，否则均为无效响应。</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（二）本项目的补遗文件（如果有）一律在重庆工程职业技术学院官网上发布，请各投标人注意下载；无论投标人下载与否，均视同投标人已知晓本项目补遗文件（如果有）的内容。</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（三）超过响应文件截止时间递交的响应文件，恕不接收。</w:t>
      </w:r>
    </w:p>
    <w:p>
      <w:pPr>
        <w:spacing w:line="520" w:lineRule="exac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xml:space="preserve">   （四）投标费用：无论投标结果如何，投标人参与本项目投标的所有费用均应由投标人自行承担。</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（五）本项目不接受联合体参与投标，亦不允许分包转包。</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pStyle w:val="7"/>
        <w:spacing w:before="0" w:after="0" w:line="520" w:lineRule="exact"/>
        <w:ind w:firstLine="562" w:firstLineChars="200"/>
        <w:rPr>
          <w:rFonts w:cs="方正仿宋_GBK" w:asciiTheme="minorEastAsia" w:hAnsiTheme="minorEastAsia" w:eastAsiaTheme="minorEastAsia"/>
          <w:color w:val="auto"/>
          <w:sz w:val="28"/>
          <w:szCs w:val="28"/>
          <w:highlight w:val="none"/>
        </w:rPr>
      </w:pPr>
      <w:bookmarkStart w:id="5" w:name="_Toc466546908"/>
      <w:r>
        <w:rPr>
          <w:rFonts w:hint="eastAsia" w:cs="方正仿宋_GBK" w:asciiTheme="minorEastAsia" w:hAnsiTheme="minorEastAsia" w:eastAsiaTheme="minorEastAsia"/>
          <w:color w:val="auto"/>
          <w:sz w:val="28"/>
          <w:szCs w:val="28"/>
          <w:highlight w:val="none"/>
        </w:rPr>
        <w:t>六、联系方式</w:t>
      </w:r>
      <w:bookmarkEnd w:id="5"/>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采购经办人：罗老师</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电  话：023-61065905</w:t>
      </w:r>
    </w:p>
    <w:p>
      <w:pPr>
        <w:snapToGrid w:val="0"/>
        <w:ind w:firstLine="560" w:firstLineChars="200"/>
        <w:jc w:val="right"/>
        <w:rPr>
          <w:rFonts w:cs="方正仿宋_GBK" w:asciiTheme="minorEastAsia" w:hAnsiTheme="minorEastAsia" w:eastAsiaTheme="minorEastAsia"/>
          <w:color w:val="auto"/>
          <w:sz w:val="28"/>
          <w:szCs w:val="28"/>
          <w:highlight w:val="none"/>
        </w:rPr>
      </w:pPr>
    </w:p>
    <w:p>
      <w:pPr>
        <w:autoSpaceDE w:val="0"/>
        <w:autoSpaceDN w:val="0"/>
        <w:adjustRightInd w:val="0"/>
        <w:spacing w:afterLines="100" w:line="440" w:lineRule="exact"/>
        <w:ind w:firstLine="470" w:firstLineChars="168"/>
        <w:jc w:val="center"/>
        <w:outlineLvl w:val="0"/>
        <w:rPr>
          <w:rFonts w:cs="方正仿宋_GBK" w:asciiTheme="minorEastAsia" w:hAnsiTheme="minorEastAsia" w:eastAsiaTheme="minorEastAsia"/>
          <w:color w:val="auto"/>
          <w:sz w:val="28"/>
          <w:szCs w:val="28"/>
          <w:highlight w:val="none"/>
        </w:rPr>
        <w:sectPr>
          <w:headerReference r:id="rId8" w:type="default"/>
          <w:footerReference r:id="rId9" w:type="default"/>
          <w:pgSz w:w="11906" w:h="16838"/>
          <w:pgMar w:top="1985" w:right="1474" w:bottom="1701" w:left="1588" w:header="851" w:footer="851" w:gutter="0"/>
          <w:pgNumType w:fmt="numberInDash"/>
          <w:cols w:space="425" w:num="1"/>
          <w:docGrid w:linePitch="388" w:charSpace="-1260"/>
        </w:sectPr>
      </w:pPr>
      <w:bookmarkStart w:id="6" w:name="_Toc285612594"/>
    </w:p>
    <w:p>
      <w:pPr>
        <w:kinsoku w:val="0"/>
        <w:overflowPunct w:val="0"/>
        <w:autoSpaceDE w:val="0"/>
        <w:autoSpaceDN w:val="0"/>
        <w:adjustRightInd w:val="0"/>
        <w:spacing w:afterLines="100" w:line="440" w:lineRule="exact"/>
        <w:ind w:firstLine="1320" w:firstLineChars="300"/>
        <w:outlineLvl w:val="0"/>
        <w:rPr>
          <w:rFonts w:cs="方正仿宋_GBK" w:asciiTheme="minorEastAsia" w:hAnsiTheme="minorEastAsia" w:eastAsiaTheme="minorEastAsia"/>
          <w:color w:val="auto"/>
          <w:sz w:val="44"/>
          <w:szCs w:val="44"/>
          <w:highlight w:val="none"/>
          <w:lang w:val="zh-CN"/>
        </w:rPr>
      </w:pPr>
      <w:r>
        <w:rPr>
          <w:rFonts w:hint="eastAsia" w:cs="方正仿宋_GBK" w:asciiTheme="minorEastAsia" w:hAnsiTheme="minorEastAsia" w:eastAsiaTheme="minorEastAsia"/>
          <w:color w:val="auto"/>
          <w:sz w:val="44"/>
          <w:szCs w:val="44"/>
          <w:highlight w:val="none"/>
          <w:lang w:val="zh-CN"/>
        </w:rPr>
        <w:t xml:space="preserve">第二部分  </w:t>
      </w:r>
      <w:bookmarkEnd w:id="6"/>
      <w:bookmarkStart w:id="7" w:name="_Toc285612595"/>
      <w:r>
        <w:rPr>
          <w:rFonts w:hint="eastAsia" w:cs="方正仿宋_GBK" w:asciiTheme="minorEastAsia" w:hAnsiTheme="minorEastAsia" w:eastAsiaTheme="minorEastAsia"/>
          <w:color w:val="auto"/>
          <w:sz w:val="44"/>
          <w:szCs w:val="44"/>
          <w:highlight w:val="none"/>
          <w:lang w:val="zh-CN"/>
        </w:rPr>
        <w:t>项目</w:t>
      </w:r>
      <w:r>
        <w:rPr>
          <w:rFonts w:hint="eastAsia" w:cs="方正仿宋_GBK" w:asciiTheme="minorEastAsia" w:hAnsiTheme="minorEastAsia" w:eastAsiaTheme="minorEastAsia"/>
          <w:color w:val="auto"/>
          <w:sz w:val="44"/>
          <w:szCs w:val="44"/>
          <w:highlight w:val="none"/>
        </w:rPr>
        <w:t>技术</w:t>
      </w:r>
      <w:r>
        <w:rPr>
          <w:rFonts w:hint="eastAsia" w:cs="方正仿宋_GBK" w:asciiTheme="minorEastAsia" w:hAnsiTheme="minorEastAsia" w:eastAsiaTheme="minorEastAsia"/>
          <w:color w:val="auto"/>
          <w:sz w:val="44"/>
          <w:szCs w:val="44"/>
          <w:highlight w:val="none"/>
          <w:lang w:val="zh-CN"/>
        </w:rPr>
        <w:t>及商务要求</w:t>
      </w:r>
    </w:p>
    <w:p>
      <w:pPr>
        <w:adjustRightInd w:val="0"/>
        <w:snapToGrid w:val="0"/>
        <w:spacing w:line="440" w:lineRule="exact"/>
        <w:ind w:firstLine="562"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bCs/>
          <w:color w:val="auto"/>
          <w:sz w:val="28"/>
          <w:szCs w:val="28"/>
          <w:highlight w:val="none"/>
        </w:rPr>
        <w:t>一、项目一览表</w:t>
      </w:r>
      <w:bookmarkEnd w:id="7"/>
    </w:p>
    <w:p>
      <w:pPr>
        <w:tabs>
          <w:tab w:val="left" w:pos="7275"/>
        </w:tabs>
        <w:adjustRightInd w:val="0"/>
        <w:snapToGrid w:val="0"/>
        <w:ind w:firstLine="560" w:firstLineChars="200"/>
        <w:rPr>
          <w:rFonts w:cs="方正仿宋_GBK" w:asciiTheme="minorEastAsia" w:hAnsiTheme="minorEastAsia" w:eastAsiaTheme="minorEastAsia"/>
          <w:color w:val="auto"/>
          <w:sz w:val="28"/>
          <w:szCs w:val="28"/>
          <w:highlight w:val="none"/>
        </w:rPr>
      </w:pPr>
      <w:bookmarkStart w:id="8" w:name="_Toc285612596"/>
    </w:p>
    <w:tbl>
      <w:tblPr>
        <w:tblStyle w:val="21"/>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65"/>
        <w:gridCol w:w="4352"/>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3" w:type="dxa"/>
            <w:tcBorders>
              <w:top w:val="single" w:color="auto" w:sz="4" w:space="0"/>
              <w:left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序号</w:t>
            </w:r>
          </w:p>
        </w:tc>
        <w:tc>
          <w:tcPr>
            <w:tcW w:w="1165" w:type="dxa"/>
            <w:tcBorders>
              <w:top w:val="single" w:color="auto" w:sz="4" w:space="0"/>
              <w:left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分包号</w:t>
            </w:r>
          </w:p>
        </w:tc>
        <w:tc>
          <w:tcPr>
            <w:tcW w:w="4352" w:type="dxa"/>
            <w:tcBorders>
              <w:top w:val="single" w:color="auto" w:sz="4" w:space="0"/>
              <w:left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项目内容</w:t>
            </w:r>
          </w:p>
        </w:tc>
        <w:tc>
          <w:tcPr>
            <w:tcW w:w="3161" w:type="dxa"/>
            <w:tcBorders>
              <w:top w:val="single" w:color="auto" w:sz="4" w:space="0"/>
              <w:left w:val="single" w:color="auto" w:sz="4" w:space="0"/>
              <w:right w:val="single" w:color="auto" w:sz="4" w:space="0"/>
            </w:tcBorders>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中标人数量（名）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3" w:type="dxa"/>
            <w:tcBorders>
              <w:top w:val="single" w:color="auto" w:sz="4" w:space="0"/>
              <w:left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w:t>
            </w:r>
          </w:p>
        </w:tc>
        <w:tc>
          <w:tcPr>
            <w:tcW w:w="1165" w:type="dxa"/>
            <w:tcBorders>
              <w:top w:val="single" w:color="auto" w:sz="4" w:space="0"/>
              <w:left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分包一</w:t>
            </w:r>
          </w:p>
        </w:tc>
        <w:tc>
          <w:tcPr>
            <w:tcW w:w="4352" w:type="dxa"/>
            <w:tcBorders>
              <w:top w:val="single" w:color="auto" w:sz="4" w:space="0"/>
              <w:left w:val="single" w:color="auto" w:sz="4" w:space="0"/>
              <w:right w:val="single" w:color="auto" w:sz="4" w:space="0"/>
            </w:tcBorders>
            <w:vAlign w:val="center"/>
          </w:tcPr>
          <w:p>
            <w:pPr>
              <w:widowControl/>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货物、服务类项目采购代理服务</w:t>
            </w:r>
          </w:p>
        </w:tc>
        <w:tc>
          <w:tcPr>
            <w:tcW w:w="3161" w:type="dxa"/>
            <w:tcBorders>
              <w:top w:val="single" w:color="auto" w:sz="4" w:space="0"/>
              <w:left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4名以内（含本数）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bookmarkStart w:id="9" w:name="_Hlk127455296"/>
            <w:r>
              <w:rPr>
                <w:rFonts w:cs="方正仿宋_GBK" w:asciiTheme="minorEastAsia" w:hAnsiTheme="minorEastAsia" w:eastAsiaTheme="minorEastAsia"/>
                <w:color w:val="auto"/>
                <w:sz w:val="28"/>
                <w:szCs w:val="28"/>
                <w:highlight w:val="none"/>
              </w:rPr>
              <w:t>2</w:t>
            </w:r>
          </w:p>
        </w:tc>
        <w:tc>
          <w:tcPr>
            <w:tcW w:w="1165" w:type="dxa"/>
            <w:tcBorders>
              <w:top w:val="single" w:color="auto" w:sz="4" w:space="0"/>
              <w:left w:val="single" w:color="auto" w:sz="4" w:space="0"/>
              <w:bottom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分包二</w:t>
            </w:r>
          </w:p>
        </w:tc>
        <w:tc>
          <w:tcPr>
            <w:tcW w:w="4352" w:type="dxa"/>
            <w:tcBorders>
              <w:top w:val="single" w:color="auto" w:sz="4" w:space="0"/>
              <w:left w:val="single" w:color="auto" w:sz="4" w:space="0"/>
              <w:bottom w:val="single" w:color="auto" w:sz="4" w:space="0"/>
              <w:right w:val="single" w:color="auto" w:sz="4" w:space="0"/>
            </w:tcBorders>
            <w:vAlign w:val="center"/>
          </w:tcPr>
          <w:p>
            <w:pPr>
              <w:widowControl/>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工程类项目采购代理服务</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2名以内（含本数）</w:t>
            </w:r>
          </w:p>
        </w:tc>
      </w:tr>
      <w:bookmarkEnd w:id="9"/>
    </w:tbl>
    <w:p>
      <w:pPr>
        <w:tabs>
          <w:tab w:val="left" w:pos="7275"/>
        </w:tabs>
        <w:adjustRightInd w:val="0"/>
        <w:snapToGrid w:val="0"/>
        <w:ind w:firstLine="560" w:firstLineChars="200"/>
        <w:rPr>
          <w:rFonts w:cs="方正仿宋_GBK" w:asciiTheme="minorEastAsia" w:hAnsiTheme="minorEastAsia" w:eastAsiaTheme="minorEastAsia"/>
          <w:color w:val="auto"/>
          <w:sz w:val="28"/>
          <w:szCs w:val="28"/>
          <w:highlight w:val="none"/>
        </w:rPr>
      </w:pPr>
    </w:p>
    <w:p>
      <w:pPr>
        <w:numPr>
          <w:ilvl w:val="0"/>
          <w:numId w:val="1"/>
        </w:numPr>
        <w:tabs>
          <w:tab w:val="left" w:pos="7275"/>
        </w:tabs>
        <w:spacing w:line="520" w:lineRule="exact"/>
        <w:ind w:firstLine="562" w:firstLineChars="200"/>
        <w:rPr>
          <w:rFonts w:hint="eastAsia"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服务内容</w:t>
      </w:r>
      <w:bookmarkStart w:id="10" w:name="_Hlk127453321"/>
    </w:p>
    <w:p>
      <w:pPr>
        <w:keepNext w:val="0"/>
        <w:keepLines w:val="0"/>
        <w:pageBreakBefore w:val="0"/>
        <w:widowControl w:val="0"/>
        <w:numPr>
          <w:ilvl w:val="0"/>
          <w:numId w:val="0"/>
        </w:numPr>
        <w:tabs>
          <w:tab w:val="left" w:pos="7275"/>
        </w:tabs>
        <w:kinsoku/>
        <w:wordWrap/>
        <w:overflowPunct/>
        <w:topLinePunct w:val="0"/>
        <w:autoSpaceDE/>
        <w:autoSpaceDN/>
        <w:bidi w:val="0"/>
        <w:adjustRightInd/>
        <w:snapToGrid/>
        <w:spacing w:line="520" w:lineRule="exact"/>
        <w:ind w:firstLine="560" w:firstLineChars="200"/>
        <w:jc w:val="left"/>
        <w:textAlignment w:val="auto"/>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分包一</w:t>
      </w:r>
      <w:r>
        <w:rPr>
          <w:rFonts w:hint="eastAsia" w:cs="方正仿宋_GBK" w:asciiTheme="minorEastAsia" w:hAnsiTheme="minorEastAsia" w:eastAsiaTheme="minorEastAsia"/>
          <w:color w:val="auto"/>
          <w:sz w:val="28"/>
          <w:szCs w:val="28"/>
          <w:highlight w:val="none"/>
        </w:rPr>
        <w:t>采购代理服务范围：包括为采购人提供政府采购限额以上的货物、服务采购代理（但集中采购项目、采购预算限额1000.00万元及以上的项目除外），以及政府采购限额以下采购人需要委托代理实施的项目。</w:t>
      </w:r>
    </w:p>
    <w:p>
      <w:pPr>
        <w:keepNext w:val="0"/>
        <w:keepLines w:val="0"/>
        <w:pageBreakBefore w:val="0"/>
        <w:widowControl w:val="0"/>
        <w:numPr>
          <w:ilvl w:val="0"/>
          <w:numId w:val="0"/>
        </w:numPr>
        <w:tabs>
          <w:tab w:val="left" w:pos="7275"/>
        </w:tabs>
        <w:kinsoku/>
        <w:wordWrap/>
        <w:overflowPunct/>
        <w:topLinePunct w:val="0"/>
        <w:autoSpaceDE/>
        <w:autoSpaceDN/>
        <w:bidi w:val="0"/>
        <w:adjustRightInd/>
        <w:snapToGrid/>
        <w:spacing w:line="520" w:lineRule="exact"/>
        <w:ind w:firstLine="560" w:firstLineChars="200"/>
        <w:jc w:val="left"/>
        <w:textAlignment w:val="auto"/>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分包二</w:t>
      </w:r>
      <w:r>
        <w:rPr>
          <w:rFonts w:hint="eastAsia" w:cs="方正仿宋_GBK" w:asciiTheme="minorEastAsia" w:hAnsiTheme="minorEastAsia" w:eastAsiaTheme="minorEastAsia"/>
          <w:color w:val="auto"/>
          <w:sz w:val="28"/>
          <w:szCs w:val="28"/>
          <w:highlight w:val="none"/>
        </w:rPr>
        <w:t>采购代理服务范围：</w:t>
      </w:r>
      <w:r>
        <w:rPr>
          <w:rFonts w:hint="eastAsia" w:cs="方正仿宋_GBK" w:asciiTheme="minorEastAsia" w:hAnsiTheme="minorEastAsia" w:eastAsiaTheme="minorEastAsia"/>
          <w:color w:val="auto"/>
          <w:sz w:val="28"/>
          <w:szCs w:val="28"/>
          <w:highlight w:val="none"/>
          <w:lang w:val="en-US" w:eastAsia="zh-CN"/>
        </w:rPr>
        <w:t>采购人按实际情况委托的</w:t>
      </w:r>
      <w:r>
        <w:rPr>
          <w:rFonts w:hint="eastAsia" w:cs="方正仿宋_GBK" w:asciiTheme="minorEastAsia" w:hAnsiTheme="minorEastAsia" w:eastAsiaTheme="minorEastAsia"/>
          <w:color w:val="auto"/>
          <w:sz w:val="28"/>
          <w:szCs w:val="28"/>
          <w:highlight w:val="none"/>
        </w:rPr>
        <w:t>工程类项目。</w:t>
      </w:r>
    </w:p>
    <w:p>
      <w:pPr>
        <w:keepNext w:val="0"/>
        <w:keepLines w:val="0"/>
        <w:pageBreakBefore w:val="0"/>
        <w:widowControl w:val="0"/>
        <w:numPr>
          <w:ilvl w:val="0"/>
          <w:numId w:val="0"/>
        </w:numPr>
        <w:tabs>
          <w:tab w:val="left" w:pos="7275"/>
        </w:tabs>
        <w:kinsoku/>
        <w:wordWrap/>
        <w:overflowPunct/>
        <w:topLinePunct w:val="0"/>
        <w:autoSpaceDE/>
        <w:autoSpaceDN/>
        <w:bidi w:val="0"/>
        <w:adjustRightInd/>
        <w:snapToGrid/>
        <w:spacing w:line="520" w:lineRule="exact"/>
        <w:ind w:firstLine="560" w:firstLineChars="200"/>
        <w:jc w:val="left"/>
        <w:textAlignment w:val="auto"/>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服务内容包括但不限于：</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（一）接收复核采购人采购需求，并根据需求情况编制采购文件，送采购人审核批准；</w:t>
      </w:r>
    </w:p>
    <w:p>
      <w:pPr>
        <w:pStyle w:val="3"/>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（二）积极协助采购人了解有关设备、材料的技术、市场以及售后服务等有关情况；</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（三）按照审定的采购文件要求，编写</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送审，并负责在市级以上权威媒体发布采购信息；</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（四）负责接受投标人报名并做好报名信息登记；</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（五）向报名资格合格的潜在投标人发售采购文件；</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（六）负责组织采购文件答疑会或对潜在投标人进行书面答疑，并负责整理答疑资料，形成澄清或者补遗通知作为采购文件的一部分通知潜在的投标人；</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（七）向投标人收取项目投标保证金，保证金收取比例应在国家规定范围内，并根据相关规定及时退还保证金；</w:t>
      </w:r>
    </w:p>
    <w:p>
      <w:pPr>
        <w:spacing w:line="520" w:lineRule="exact"/>
        <w:ind w:firstLine="560" w:firstLineChars="200"/>
        <w:outlineLvl w:val="2"/>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rPr>
        <w:t>（八）</w:t>
      </w:r>
      <w:r>
        <w:rPr>
          <w:rFonts w:hint="eastAsia" w:cs="方正仿宋_GBK" w:asciiTheme="minorEastAsia" w:hAnsiTheme="minorEastAsia" w:eastAsiaTheme="minorEastAsia"/>
          <w:color w:val="auto"/>
          <w:sz w:val="28"/>
          <w:szCs w:val="28"/>
          <w:highlight w:val="none"/>
          <w:lang w:val="en-US" w:eastAsia="zh-CN"/>
        </w:rPr>
        <w:t>分包一：</w:t>
      </w:r>
      <w:r>
        <w:rPr>
          <w:rFonts w:hint="eastAsia" w:cs="方正仿宋_GBK" w:asciiTheme="minorEastAsia" w:hAnsiTheme="minorEastAsia" w:eastAsiaTheme="minorEastAsia"/>
          <w:color w:val="auto"/>
          <w:sz w:val="28"/>
          <w:szCs w:val="28"/>
          <w:highlight w:val="none"/>
        </w:rPr>
        <w:t>政府采购项目应当进入重庆市公共资源交易中心入场交易，其他项目按有利于项目实施的原则，可按相关规定在采购人及投标人单位内部场地组织开评标会议，并按规定对开评标活动全程录音录像</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分包二：工程类项目采取公开招标的项目应当进入重庆市公共资源交易中心或江津区公共资源交易中心入场交易，其他项目按有利于项目实施的原则或从其相关招标需满足的规范规定等原则确定交易场地组织开评标会议，并按规定对开评标活动全程录音录像。</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（九）按照采购文件要求接受投标人的投标，主持开标会议，并承担有关专家评审费、差旅费等，做好开标原始记录；</w:t>
      </w:r>
    </w:p>
    <w:p>
      <w:pPr>
        <w:spacing w:line="520" w:lineRule="exact"/>
        <w:ind w:firstLine="560" w:firstLineChars="200"/>
        <w:outlineLvl w:val="2"/>
        <w:rPr>
          <w:color w:val="auto"/>
          <w:highlight w:val="none"/>
        </w:rPr>
      </w:pPr>
      <w:r>
        <w:rPr>
          <w:rFonts w:hint="eastAsia" w:cs="方正仿宋_GBK" w:asciiTheme="minorEastAsia" w:hAnsiTheme="minorEastAsia" w:eastAsiaTheme="minorEastAsia"/>
          <w:color w:val="auto"/>
          <w:sz w:val="28"/>
          <w:szCs w:val="28"/>
          <w:highlight w:val="none"/>
        </w:rPr>
        <w:t>（十）组织评标会议，协助评标委员会编制《评标报告》，送采购人审核确认；</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（十一）填写、发放中标通知书以及低价风险担保通知书（如有涉及）；</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（十二）协助采购人与中标单位签订合同，并协助采购人对购销合同进行公示；</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（十三）负责采购资料的整理及归档，并于确定中标人后，向采购人移交一份招投标情况书面报告；</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（十四）负责配合采购人完成所代理项目采购人管理系统数据录入工作；</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五）负责采购资料的整理及归档，并于确定中标人后，向采购人移交采购过程备案资料（备案资料包括但不限于采购过程中产生的全部纸质资料以及开评标活动等相关音视频资料，所有纸质资料应装订成册并形成电子文档，所有音视频资料刻录成光碟一并移交）；</w:t>
      </w:r>
    </w:p>
    <w:bookmarkEnd w:id="10"/>
    <w:p>
      <w:pPr>
        <w:spacing w:line="520" w:lineRule="exact"/>
        <w:ind w:firstLine="560" w:firstLineChars="200"/>
        <w:outlineLvl w:val="2"/>
        <w:rPr>
          <w:color w:val="auto"/>
          <w:highlight w:val="none"/>
        </w:rPr>
      </w:pPr>
      <w:r>
        <w:rPr>
          <w:rFonts w:hint="eastAsia" w:cs="方正仿宋_GBK" w:asciiTheme="minorEastAsia" w:hAnsiTheme="minorEastAsia" w:eastAsiaTheme="minorEastAsia"/>
          <w:color w:val="auto"/>
          <w:sz w:val="28"/>
          <w:szCs w:val="28"/>
          <w:highlight w:val="none"/>
        </w:rPr>
        <w:t>（十六）按采购人要求定期对采购人相关人员进行政策宣传。协助采购人办理审计/巡视相关工作。</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（十七）完成采购人交办的与采购代理有关的其它事务。</w:t>
      </w:r>
    </w:p>
    <w:p>
      <w:pPr>
        <w:spacing w:line="520" w:lineRule="exact"/>
        <w:ind w:firstLine="562" w:firstLineChars="200"/>
        <w:outlineLvl w:val="2"/>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三、服务要求</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bookmarkStart w:id="11" w:name="_Hlk127453340"/>
      <w:r>
        <w:rPr>
          <w:rFonts w:hint="eastAsia" w:cs="方正仿宋_GBK" w:asciiTheme="minorEastAsia" w:hAnsiTheme="minorEastAsia" w:eastAsiaTheme="minorEastAsia"/>
          <w:color w:val="auto"/>
          <w:sz w:val="28"/>
          <w:szCs w:val="28"/>
          <w:highlight w:val="none"/>
        </w:rPr>
        <w:t>（一）采购代理机构必须严格执行国家采购法律法规，符合代理项目的招标采购流程，不得有营私舞弊的行为；自觉接受采购人的业务指导和监督管理，全力维护采购人的合法权益；运用自身的专业技能为采购人做好采购代理工作，并提供与招标采购项目有关的其它服务；标书费及报名费的收取应当符合政府采购相关法律法规规定；发放电子采购（招标）文件的，不得收取采购文件及报名费用。</w:t>
      </w:r>
    </w:p>
    <w:p>
      <w:pPr>
        <w:pStyle w:val="3"/>
        <w:ind w:firstLine="560" w:firstLineChars="200"/>
        <w:rPr>
          <w:rFonts w:hint="eastAsia" w:cs="方正仿宋_GBK" w:asciiTheme="minorEastAsia" w:hAnsiTheme="minorEastAsia" w:eastAsiaTheme="minorEastAsia"/>
          <w:color w:val="auto"/>
          <w:sz w:val="28"/>
          <w:szCs w:val="28"/>
          <w:highlight w:val="none"/>
          <w:lang w:val="en-US" w:eastAsia="zh-CN" w:bidi="ar-SA"/>
        </w:rPr>
      </w:pPr>
      <w:r>
        <w:rPr>
          <w:rFonts w:hint="eastAsia" w:cs="方正仿宋_GBK" w:asciiTheme="minorEastAsia" w:hAnsiTheme="minorEastAsia" w:eastAsiaTheme="minorEastAsia"/>
          <w:color w:val="auto"/>
          <w:sz w:val="28"/>
          <w:szCs w:val="28"/>
          <w:highlight w:val="none"/>
          <w:lang w:val="en-US" w:eastAsia="zh-CN" w:bidi="ar-SA"/>
        </w:rPr>
        <w:t>（二）接受采购计划后，应当根据项目实际制定招标采购过程工作进度表，以便让采购人了解整个招标工作的进展情况；在服务期限内，由采购人根据工作的特点和要求具体确定时间，代理机构应当在约定的时间内完成相关工作。</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三 )采购代理机构向采购人移交的所有有关招投标活动的资料，均须通过书面形式移交，采购人收悉后，将按审核意见予以回函；采购人向采购代理机构提出的意见建议，采购代理机构应予以审核，如与采购法规不符，采购代理机构应当予以拒绝并提出相应意见，确保代理项目合法、合规。</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xml:space="preserve">（四）代理过程中，如遇有投标人质疑、投诉或作出情况说明等，采购代理机构在收到相关资料后，应根据自身专业知识及工作经验，分析原因，向采购人提出合法、合规的处理意见建议，并负责对相关问题进行回复。 </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（五）采购代理机构必须对采购人单位信息进行保密，在未经采购人事先书面同意的情况下，任何时候均不得将招标信息的任何内容或者从采购人处知晓的关于采购人单位的任何信息泄露给任何其它方。</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（六）采购代理机构承接每个项目前，应充分了解掌握采购项目需求情况，紧贴项目实际拟制各类采购文书，严禁随意将以往的采购文件复制剪贴，糊弄应付，甚至错漏百出。</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（七）采购代理机构须无条件配合采购人接受各级审计、巡视工作；采购资料（含音视频资料）保存期限为招标结束之日起至少15年。本义务不因合同履行期满而免除。</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（八）</w:t>
      </w:r>
      <w:bookmarkStart w:id="12" w:name="_Toc267320049"/>
      <w:bookmarkStart w:id="13" w:name="_Toc485989039"/>
      <w:r>
        <w:rPr>
          <w:rFonts w:hint="eastAsia" w:cs="方正仿宋_GBK" w:asciiTheme="minorEastAsia" w:hAnsiTheme="minorEastAsia" w:eastAsiaTheme="minorEastAsia"/>
          <w:color w:val="auto"/>
          <w:sz w:val="28"/>
          <w:szCs w:val="28"/>
          <w:highlight w:val="none"/>
        </w:rPr>
        <w:t>合同履约过程中，</w:t>
      </w:r>
      <w:r>
        <w:rPr>
          <w:rFonts w:hint="eastAsia" w:cs="方正仿宋_GBK" w:asciiTheme="minorEastAsia" w:hAnsiTheme="minorEastAsia" w:eastAsiaTheme="minorEastAsia"/>
          <w:color w:val="auto"/>
          <w:sz w:val="28"/>
          <w:szCs w:val="28"/>
          <w:highlight w:val="none"/>
          <w:lang w:val="en-US" w:eastAsia="zh-CN"/>
        </w:rPr>
        <w:t>采购人将按照考评</w:t>
      </w:r>
      <w:r>
        <w:rPr>
          <w:rFonts w:hint="eastAsia" w:cs="方正仿宋_GBK" w:asciiTheme="minorEastAsia" w:hAnsiTheme="minorEastAsia" w:eastAsiaTheme="minorEastAsia"/>
          <w:color w:val="auto"/>
          <w:sz w:val="28"/>
          <w:szCs w:val="28"/>
          <w:highlight w:val="none"/>
        </w:rPr>
        <w:t>指标</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见附件3</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rPr>
        <w:t>对代理机构</w:t>
      </w:r>
      <w:r>
        <w:rPr>
          <w:rFonts w:hint="eastAsia" w:cs="方正仿宋_GBK" w:asciiTheme="minorEastAsia" w:hAnsiTheme="minorEastAsia" w:eastAsiaTheme="minorEastAsia"/>
          <w:color w:val="auto"/>
          <w:sz w:val="28"/>
          <w:szCs w:val="28"/>
          <w:highlight w:val="none"/>
          <w:lang w:val="en-US" w:eastAsia="zh-CN"/>
        </w:rPr>
        <w:t>每年</w:t>
      </w:r>
      <w:r>
        <w:rPr>
          <w:rFonts w:hint="eastAsia" w:cs="方正仿宋_GBK" w:asciiTheme="minorEastAsia" w:hAnsiTheme="minorEastAsia" w:eastAsiaTheme="minorEastAsia"/>
          <w:color w:val="auto"/>
          <w:sz w:val="28"/>
          <w:szCs w:val="28"/>
          <w:highlight w:val="none"/>
        </w:rPr>
        <w:t>实施</w:t>
      </w:r>
      <w:r>
        <w:rPr>
          <w:rFonts w:hint="eastAsia" w:cs="方正仿宋_GBK" w:asciiTheme="minorEastAsia" w:hAnsiTheme="minorEastAsia" w:eastAsiaTheme="minorEastAsia"/>
          <w:color w:val="auto"/>
          <w:sz w:val="28"/>
          <w:szCs w:val="28"/>
          <w:highlight w:val="none"/>
          <w:lang w:val="en-US" w:eastAsia="zh-CN"/>
        </w:rPr>
        <w:t>一次</w:t>
      </w:r>
      <w:r>
        <w:rPr>
          <w:rFonts w:hint="eastAsia" w:cs="方正仿宋_GBK" w:asciiTheme="minorEastAsia" w:hAnsiTheme="minorEastAsia" w:eastAsiaTheme="minorEastAsia"/>
          <w:color w:val="auto"/>
          <w:sz w:val="28"/>
          <w:szCs w:val="28"/>
          <w:highlight w:val="none"/>
        </w:rPr>
        <w:t>量化考评。评价分为</w:t>
      </w:r>
      <w:r>
        <w:rPr>
          <w:rFonts w:hint="eastAsia" w:cs="方正仿宋_GBK" w:asciiTheme="minorEastAsia" w:hAnsiTheme="minorEastAsia" w:eastAsiaTheme="minorEastAsia"/>
          <w:color w:val="auto"/>
          <w:sz w:val="28"/>
          <w:szCs w:val="28"/>
          <w:highlight w:val="none"/>
          <w:lang w:val="en-US" w:eastAsia="zh-CN"/>
        </w:rPr>
        <w:t>四</w:t>
      </w:r>
      <w:r>
        <w:rPr>
          <w:rFonts w:hint="eastAsia" w:cs="方正仿宋_GBK" w:asciiTheme="minorEastAsia" w:hAnsiTheme="minorEastAsia" w:eastAsiaTheme="minorEastAsia"/>
          <w:color w:val="auto"/>
          <w:sz w:val="28"/>
          <w:szCs w:val="28"/>
          <w:highlight w:val="none"/>
        </w:rPr>
        <w:t>个等级</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优</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90分及以上</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良</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85-89</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中（80-84）、差（80分以下）</w:t>
      </w:r>
      <w:r>
        <w:rPr>
          <w:rFonts w:hint="eastAsia" w:cs="方正仿宋_GBK" w:asciiTheme="minorEastAsia" w:hAnsiTheme="minorEastAsia" w:eastAsiaTheme="minorEastAsia"/>
          <w:color w:val="auto"/>
          <w:sz w:val="28"/>
          <w:szCs w:val="28"/>
          <w:highlight w:val="none"/>
        </w:rPr>
        <w:t>。</w:t>
      </w:r>
    </w:p>
    <w:p>
      <w:pPr>
        <w:spacing w:line="520" w:lineRule="exact"/>
        <w:ind w:firstLine="560" w:firstLineChars="200"/>
        <w:outlineLvl w:val="2"/>
        <w:rPr>
          <w:color w:val="auto"/>
          <w:highlight w:val="none"/>
        </w:rPr>
      </w:pPr>
      <w:r>
        <w:rPr>
          <w:rFonts w:hint="eastAsia" w:cs="方正仿宋_GBK" w:asciiTheme="minorEastAsia" w:hAnsiTheme="minorEastAsia" w:eastAsiaTheme="minorEastAsia"/>
          <w:color w:val="auto"/>
          <w:sz w:val="28"/>
          <w:szCs w:val="28"/>
          <w:highlight w:val="none"/>
        </w:rPr>
        <w:t>采购代理机构同意采购人按照上述考评制度进行考评，认可考评结果，并承担与之相对应的法律后果。若采购代理机构拒不接受考评、拒不认可考评结果或拒不承担法律后果的，采购人可终止采购代理服务合同，扣除履约保证金，采购代理机构承担相应法律责任。</w:t>
      </w:r>
    </w:p>
    <w:bookmarkEnd w:id="11"/>
    <w:p>
      <w:pPr>
        <w:spacing w:line="520" w:lineRule="exact"/>
        <w:ind w:firstLine="422" w:firstLineChars="150"/>
        <w:outlineLvl w:val="2"/>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四、服务期</w:t>
      </w:r>
      <w:bookmarkEnd w:id="12"/>
      <w:bookmarkEnd w:id="13"/>
      <w:r>
        <w:rPr>
          <w:rFonts w:hint="eastAsia" w:cs="方正仿宋_GBK" w:asciiTheme="minorEastAsia" w:hAnsiTheme="minorEastAsia" w:eastAsiaTheme="minorEastAsia"/>
          <w:b/>
          <w:bCs/>
          <w:color w:val="auto"/>
          <w:sz w:val="28"/>
          <w:szCs w:val="28"/>
          <w:highlight w:val="none"/>
        </w:rPr>
        <w:t>限、服务地点</w:t>
      </w:r>
    </w:p>
    <w:p>
      <w:pPr>
        <w:spacing w:line="520" w:lineRule="exact"/>
        <w:ind w:firstLine="560" w:firstLineChars="200"/>
        <w:rPr>
          <w:rFonts w:cs="方正仿宋_GBK" w:asciiTheme="minorEastAsia" w:hAnsiTheme="minorEastAsia" w:eastAsiaTheme="minorEastAsia"/>
          <w:color w:val="auto"/>
          <w:sz w:val="28"/>
          <w:szCs w:val="28"/>
          <w:highlight w:val="none"/>
        </w:rPr>
      </w:pPr>
      <w:bookmarkStart w:id="14" w:name="_Toc485989040"/>
      <w:bookmarkStart w:id="15" w:name="_Toc267320050"/>
      <w:r>
        <w:rPr>
          <w:rFonts w:hint="eastAsia" w:cs="方正仿宋_GBK" w:asciiTheme="minorEastAsia" w:hAnsiTheme="minorEastAsia" w:eastAsiaTheme="minorEastAsia"/>
          <w:color w:val="auto"/>
          <w:sz w:val="28"/>
          <w:szCs w:val="28"/>
          <w:highlight w:val="none"/>
        </w:rPr>
        <w:t>服务期：</w:t>
      </w:r>
      <w:bookmarkStart w:id="16" w:name="_Hlk127448794"/>
      <w:bookmarkStart w:id="17" w:name="_Hlk127453405"/>
      <w:r>
        <w:rPr>
          <w:rFonts w:hint="eastAsia" w:cs="方正仿宋_GBK" w:asciiTheme="minorEastAsia" w:hAnsiTheme="minorEastAsia" w:eastAsiaTheme="minorEastAsia"/>
          <w:color w:val="auto"/>
          <w:sz w:val="28"/>
          <w:szCs w:val="28"/>
          <w:highlight w:val="none"/>
        </w:rPr>
        <w:t>服务期限为2年，服务合同一年一签，</w:t>
      </w:r>
      <w:bookmarkEnd w:id="16"/>
      <w:bookmarkStart w:id="18" w:name="_Hlk127449173"/>
      <w:r>
        <w:rPr>
          <w:rFonts w:hint="eastAsia" w:cs="方正仿宋_GBK" w:asciiTheme="minorEastAsia" w:hAnsiTheme="minorEastAsia" w:eastAsiaTheme="minorEastAsia"/>
          <w:color w:val="auto"/>
          <w:sz w:val="28"/>
          <w:szCs w:val="28"/>
          <w:highlight w:val="none"/>
        </w:rPr>
        <w:t>采购人有权根据</w:t>
      </w:r>
      <w:r>
        <w:rPr>
          <w:rFonts w:hint="eastAsia" w:cs="方正仿宋_GBK" w:asciiTheme="minorEastAsia" w:hAnsiTheme="minorEastAsia" w:eastAsiaTheme="minorEastAsia"/>
          <w:color w:val="auto"/>
          <w:sz w:val="28"/>
          <w:szCs w:val="28"/>
          <w:highlight w:val="none"/>
          <w:lang w:val="en-US" w:eastAsia="zh-CN"/>
        </w:rPr>
        <w:t>考评结果</w:t>
      </w:r>
      <w:r>
        <w:rPr>
          <w:rFonts w:hint="eastAsia" w:cs="方正仿宋_GBK" w:asciiTheme="minorEastAsia" w:hAnsiTheme="minorEastAsia" w:eastAsiaTheme="minorEastAsia"/>
          <w:color w:val="auto"/>
          <w:sz w:val="28"/>
          <w:szCs w:val="28"/>
          <w:highlight w:val="none"/>
        </w:rPr>
        <w:t>决定是否续签</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若考评结果在“中”及以下的，采购人将不予续签</w:t>
      </w:r>
      <w:r>
        <w:rPr>
          <w:rFonts w:hint="eastAsia" w:cs="方正仿宋_GBK" w:asciiTheme="minorEastAsia" w:hAnsiTheme="minorEastAsia" w:eastAsiaTheme="minorEastAsia"/>
          <w:color w:val="auto"/>
          <w:sz w:val="28"/>
          <w:szCs w:val="28"/>
          <w:highlight w:val="none"/>
        </w:rPr>
        <w:t>采购代理服务合同。采购代理服务合同未续签，采购代理机构将失去采购人采购代理</w:t>
      </w:r>
      <w:bookmarkEnd w:id="18"/>
      <w:r>
        <w:rPr>
          <w:rFonts w:hint="eastAsia" w:cs="方正仿宋_GBK" w:asciiTheme="minorEastAsia" w:hAnsiTheme="minorEastAsia" w:eastAsiaTheme="minorEastAsia"/>
          <w:color w:val="auto"/>
          <w:sz w:val="28"/>
          <w:szCs w:val="28"/>
          <w:highlight w:val="none"/>
        </w:rPr>
        <w:t>资格，除履约保证金外（采购代理人有违约行为的，应当先扣减违约金后再返还），采购人不向采购代理机构支付其余费用。</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在合同履行期限内，如遇新的法律法规出台或上级部门政策调整导致合同无法继续执行的，合同自行终止，双方均不承担责任。</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在合同履行期限内，代理机构出现第九条违约责任规定情形的</w:t>
      </w:r>
      <w:r>
        <w:rPr>
          <w:rFonts w:hint="eastAsia"/>
          <w:color w:val="auto"/>
          <w:highlight w:val="none"/>
        </w:rPr>
        <w:t>，</w:t>
      </w:r>
      <w:r>
        <w:rPr>
          <w:rFonts w:hint="eastAsia" w:cs="方正仿宋_GBK" w:asciiTheme="minorEastAsia" w:hAnsiTheme="minorEastAsia" w:eastAsiaTheme="minorEastAsia"/>
          <w:color w:val="auto"/>
          <w:sz w:val="28"/>
          <w:szCs w:val="28"/>
          <w:highlight w:val="none"/>
        </w:rPr>
        <w:t>采购人有权单方面终止采购代理服务合同。若采购代理机构存在违约行为的，采购代理机构承担相应经济责任和法律责任，履约保证金应当优先赔偿采购人的损失且并不以此为限，若有剩余再返还。除此之外采购人不需向采购代理机构支付任何费用（包括不支付尚未完成招标工作项目的采购代理费），双方另行达成协议的除外。</w:t>
      </w:r>
    </w:p>
    <w:bookmarkEnd w:id="17"/>
    <w:p>
      <w:pPr>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五、服务团队要求</w:t>
      </w:r>
    </w:p>
    <w:p>
      <w:pPr>
        <w:pStyle w:val="3"/>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合同履约期间，投标人须为采购人提供相对固定的采购代理服务团队（提供团队人员名单及其相关资质证明并加盖公章）。未经采购人书面同意，不得随意更换服务团队成员，若确需变动，投标人应及时函告采购人同意，替补人员应具有同等资质。采购人有权根据业务工作需要，要求投标人调整具有同等资质服务团队成员，投标人应予以积极配合。</w:t>
      </w:r>
    </w:p>
    <w:p>
      <w:pPr>
        <w:autoSpaceDE w:val="0"/>
        <w:autoSpaceDN w:val="0"/>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六、中标采购代理机构委派方式</w:t>
      </w:r>
    </w:p>
    <w:bookmarkEnd w:id="14"/>
    <w:p>
      <w:pPr>
        <w:autoSpaceDE w:val="0"/>
        <w:autoSpaceDN w:val="0"/>
        <w:spacing w:line="520" w:lineRule="exact"/>
        <w:ind w:firstLine="560" w:firstLineChars="200"/>
        <w:rPr>
          <w:rStyle w:val="24"/>
          <w:rFonts w:cs="方正仿宋_GBK" w:asciiTheme="minorEastAsia" w:hAnsiTheme="minorEastAsia" w:eastAsiaTheme="minorEastAsia"/>
          <w:color w:val="auto"/>
          <w:sz w:val="28"/>
          <w:szCs w:val="28"/>
          <w:highlight w:val="none"/>
        </w:rPr>
      </w:pPr>
      <w:bookmarkStart w:id="19" w:name="_Toc485989042"/>
      <w:r>
        <w:rPr>
          <w:rFonts w:hint="eastAsia" w:cs="方正仿宋_GBK" w:asciiTheme="minorEastAsia" w:hAnsiTheme="minorEastAsia" w:eastAsiaTheme="minorEastAsia"/>
          <w:color w:val="auto"/>
          <w:sz w:val="28"/>
          <w:szCs w:val="28"/>
          <w:highlight w:val="none"/>
        </w:rPr>
        <w:t>采购人</w:t>
      </w:r>
      <w:r>
        <w:rPr>
          <w:rFonts w:cs="方正仿宋_GBK" w:asciiTheme="minorEastAsia" w:hAnsiTheme="minorEastAsia" w:eastAsiaTheme="minorEastAsia"/>
          <w:color w:val="auto"/>
          <w:sz w:val="28"/>
          <w:szCs w:val="28"/>
          <w:highlight w:val="none"/>
        </w:rPr>
        <w:t>根据项目具体情况和</w:t>
      </w:r>
      <w:r>
        <w:rPr>
          <w:rFonts w:hint="eastAsia" w:cs="方正仿宋_GBK" w:asciiTheme="minorEastAsia" w:hAnsiTheme="minorEastAsia" w:eastAsiaTheme="minorEastAsia"/>
          <w:color w:val="auto"/>
          <w:sz w:val="28"/>
          <w:szCs w:val="28"/>
          <w:highlight w:val="none"/>
        </w:rPr>
        <w:t>中标</w:t>
      </w:r>
      <w:r>
        <w:rPr>
          <w:rFonts w:cs="方正仿宋_GBK" w:asciiTheme="minorEastAsia" w:hAnsiTheme="minorEastAsia" w:eastAsiaTheme="minorEastAsia"/>
          <w:color w:val="auto"/>
          <w:sz w:val="28"/>
          <w:szCs w:val="28"/>
          <w:highlight w:val="none"/>
        </w:rPr>
        <w:t>代理</w:t>
      </w:r>
      <w:r>
        <w:rPr>
          <w:rFonts w:hint="eastAsia" w:cs="方正仿宋_GBK" w:asciiTheme="minorEastAsia" w:hAnsiTheme="minorEastAsia" w:eastAsiaTheme="minorEastAsia"/>
          <w:color w:val="auto"/>
          <w:sz w:val="28"/>
          <w:szCs w:val="28"/>
          <w:highlight w:val="none"/>
        </w:rPr>
        <w:t>机构</w:t>
      </w:r>
      <w:r>
        <w:rPr>
          <w:rFonts w:cs="方正仿宋_GBK" w:asciiTheme="minorEastAsia" w:hAnsiTheme="minorEastAsia" w:eastAsiaTheme="minorEastAsia"/>
          <w:color w:val="auto"/>
          <w:sz w:val="28"/>
          <w:szCs w:val="28"/>
          <w:highlight w:val="none"/>
        </w:rPr>
        <w:t>履约情况进行业务安排</w:t>
      </w:r>
      <w:r>
        <w:rPr>
          <w:rFonts w:hint="eastAsia" w:cs="方正仿宋_GBK" w:asciiTheme="minorEastAsia" w:hAnsiTheme="minorEastAsia" w:eastAsiaTheme="minorEastAsia"/>
          <w:color w:val="auto"/>
          <w:sz w:val="28"/>
          <w:szCs w:val="28"/>
          <w:highlight w:val="none"/>
        </w:rPr>
        <w:t>，中标</w:t>
      </w:r>
      <w:r>
        <w:rPr>
          <w:rFonts w:cs="方正仿宋_GBK" w:asciiTheme="minorEastAsia" w:hAnsiTheme="minorEastAsia" w:eastAsiaTheme="minorEastAsia"/>
          <w:color w:val="auto"/>
          <w:sz w:val="28"/>
          <w:szCs w:val="28"/>
          <w:highlight w:val="none"/>
        </w:rPr>
        <w:t>代理</w:t>
      </w:r>
      <w:r>
        <w:rPr>
          <w:rFonts w:hint="eastAsia" w:cs="方正仿宋_GBK" w:asciiTheme="minorEastAsia" w:hAnsiTheme="minorEastAsia" w:eastAsiaTheme="minorEastAsia"/>
          <w:color w:val="auto"/>
          <w:sz w:val="28"/>
          <w:szCs w:val="28"/>
          <w:highlight w:val="none"/>
        </w:rPr>
        <w:t>机构</w:t>
      </w:r>
      <w:r>
        <w:rPr>
          <w:rFonts w:cs="方正仿宋_GBK" w:asciiTheme="minorEastAsia" w:hAnsiTheme="minorEastAsia" w:eastAsiaTheme="minorEastAsia"/>
          <w:color w:val="auto"/>
          <w:sz w:val="28"/>
          <w:szCs w:val="28"/>
          <w:highlight w:val="none"/>
        </w:rPr>
        <w:t>应服从采购人的</w:t>
      </w:r>
      <w:r>
        <w:rPr>
          <w:rFonts w:hint="eastAsia" w:cs="方正仿宋_GBK" w:asciiTheme="minorEastAsia" w:hAnsiTheme="minorEastAsia" w:eastAsiaTheme="minorEastAsia"/>
          <w:color w:val="auto"/>
          <w:sz w:val="28"/>
          <w:szCs w:val="28"/>
          <w:highlight w:val="none"/>
        </w:rPr>
        <w:t>业务</w:t>
      </w:r>
      <w:r>
        <w:rPr>
          <w:rFonts w:cs="方正仿宋_GBK" w:asciiTheme="minorEastAsia" w:hAnsiTheme="minorEastAsia" w:eastAsiaTheme="minorEastAsia"/>
          <w:color w:val="auto"/>
          <w:sz w:val="28"/>
          <w:szCs w:val="28"/>
          <w:highlight w:val="none"/>
        </w:rPr>
        <w:t>分配。</w:t>
      </w:r>
      <w:r>
        <w:rPr>
          <w:rFonts w:hint="eastAsia" w:cs="方正仿宋_GBK" w:asciiTheme="minorEastAsia" w:hAnsiTheme="minorEastAsia" w:eastAsiaTheme="minorEastAsia"/>
          <w:color w:val="auto"/>
          <w:sz w:val="28"/>
          <w:szCs w:val="28"/>
          <w:highlight w:val="none"/>
        </w:rPr>
        <w:t>原则上，每项采购项目实施前，由采购人按照“一事一抽”的原则，在采购人采购代理机构库中按中标顺序轮选，有特殊要求的由采购人根据各代理公司业务具体情况直接指定，采购人向代理单位出具采购代理委托书。正在实施采购代理服务的，原则上不再参与其余项目的采购代理，但采购人采购代理机构库里单位均同时在实施采购代理服务的情况除外。</w:t>
      </w:r>
    </w:p>
    <w:p>
      <w:pPr>
        <w:autoSpaceDE w:val="0"/>
        <w:autoSpaceDN w:val="0"/>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七、采购代理服务费的收取标准</w:t>
      </w:r>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w:t>
      </w:r>
      <w:bookmarkStart w:id="20" w:name="_Hlk127454135"/>
      <w:r>
        <w:rPr>
          <w:rFonts w:hint="eastAsia" w:cs="方正仿宋_GBK" w:asciiTheme="minorEastAsia" w:hAnsiTheme="minorEastAsia" w:eastAsiaTheme="minorEastAsia"/>
          <w:color w:val="auto"/>
          <w:sz w:val="28"/>
          <w:szCs w:val="28"/>
          <w:highlight w:val="none"/>
        </w:rPr>
        <w:t>货物、服务、工程类采购代理服务费在下表收费标准基础上打6-8折收取</w:t>
      </w:r>
      <w:bookmarkEnd w:id="20"/>
      <w:r>
        <w:rPr>
          <w:rFonts w:hint="eastAsia" w:cs="方正仿宋_GBK" w:asciiTheme="minorEastAsia" w:hAnsiTheme="minorEastAsia" w:eastAsiaTheme="minorEastAsia"/>
          <w:color w:val="auto"/>
          <w:sz w:val="28"/>
          <w:szCs w:val="28"/>
          <w:highlight w:val="none"/>
        </w:rPr>
        <w:t>，投标人在递交响应文件时须在此范围内进行折扣率报价，同时承诺按照最终确定的中标人所报最低折扣率作为签订合同的依据（提供承诺函，格式自拟并加盖公章）。政府采购限额以下的项目，固定收费标准为4000.00元。</w:t>
      </w:r>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备注：各投标人的投标报价应包含：服务费、人员管理费、专家劳务费、契税费等所有费用。因成交供应商自身原因造成漏报、少报皆由其自行承担责任，报价不可更改。</w:t>
      </w:r>
    </w:p>
    <w:tbl>
      <w:tblPr>
        <w:tblStyle w:val="21"/>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3"/>
        <w:gridCol w:w="1842"/>
        <w:gridCol w:w="237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413" w:type="dxa"/>
            <w:tcBorders>
              <w:tl2br w:val="single" w:color="auto" w:sz="4" w:space="0"/>
            </w:tcBorders>
          </w:tcPr>
          <w:p>
            <w:pPr>
              <w:spacing w:line="360" w:lineRule="exact"/>
              <w:jc w:val="right"/>
              <w:rPr>
                <w:rFonts w:cs="方正仿宋_GBK" w:asciiTheme="minorEastAsia" w:hAnsiTheme="minorEastAsia" w:eastAsiaTheme="minorEastAsia"/>
                <w:color w:val="auto"/>
                <w:sz w:val="28"/>
                <w:szCs w:val="28"/>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连接符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BRAobs7wEAAOQDAAAOAAAAAAAAAAEAIAAAACUBAABkcnMvZTJvRG9jLnhtbFBLBQYAAAAA&#10;BgAGAFkBAACGBQAAAAA=&#10;">
                      <v:fill on="f" focussize="0,0"/>
                      <v:stroke color="#000000" joinstyle="round"/>
                      <v:imagedata o:title=""/>
                      <o:lock v:ext="edit" aspectratio="f"/>
                    </v:line>
                  </w:pict>
                </mc:Fallback>
              </mc:AlternateContent>
            </w:r>
            <w:r>
              <w:rPr>
                <w:rFonts w:hint="eastAsia" w:cs="方正仿宋_GBK" w:asciiTheme="minorEastAsia" w:hAnsiTheme="minorEastAsia" w:eastAsiaTheme="minorEastAsia"/>
                <w:color w:val="auto"/>
                <w:sz w:val="28"/>
                <w:szCs w:val="28"/>
                <w:highlight w:val="none"/>
              </w:rPr>
              <w:t>项目</w:t>
            </w:r>
            <w:r>
              <w:rPr>
                <w:rFonts w:cs="方正仿宋_GBK" w:asciiTheme="minorEastAsia" w:hAnsiTheme="minorEastAsia" w:eastAsiaTheme="minorEastAsia"/>
                <w:color w:val="auto"/>
                <w:sz w:val="28"/>
                <w:szCs w:val="28"/>
                <w:highlight w:val="none"/>
              </w:rPr>
              <w:t>类型</w:t>
            </w:r>
          </w:p>
          <w:p>
            <w:pPr>
              <w:spacing w:line="360" w:lineRule="exact"/>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中标金额（万元）</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货物类</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服务</w:t>
            </w:r>
            <w:r>
              <w:rPr>
                <w:rFonts w:hint="eastAsia" w:cs="方正仿宋_GBK" w:asciiTheme="minorEastAsia" w:hAnsiTheme="minorEastAsia" w:eastAsiaTheme="minorEastAsia"/>
                <w:color w:val="auto"/>
                <w:sz w:val="28"/>
                <w:szCs w:val="28"/>
                <w:highlight w:val="none"/>
              </w:rPr>
              <w:t>类</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100及以下</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100-500（含500）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1.1%</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0.8%</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500-1000（含1000）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0.8%</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0.45%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1000-5000（含5000）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0.25%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5000-10000（含10000）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0.25%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0.1%</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10000-</w:t>
            </w:r>
            <w:r>
              <w:rPr>
                <w:rFonts w:hint="eastAsia" w:cs="方正仿宋_GBK" w:asciiTheme="minorEastAsia" w:hAnsiTheme="minorEastAsia" w:eastAsiaTheme="minorEastAsia"/>
                <w:color w:val="auto"/>
                <w:sz w:val="28"/>
                <w:szCs w:val="28"/>
                <w:highlight w:val="none"/>
              </w:rPr>
              <w:t>100000</w:t>
            </w:r>
            <w:r>
              <w:rPr>
                <w:rFonts w:cs="方正仿宋_GBK" w:asciiTheme="minorEastAsia" w:hAnsiTheme="minorEastAsia" w:eastAsiaTheme="minorEastAsia"/>
                <w:color w:val="auto"/>
                <w:sz w:val="28"/>
                <w:szCs w:val="28"/>
                <w:highlight w:val="none"/>
              </w:rPr>
              <w:t>（含</w:t>
            </w:r>
            <w:r>
              <w:rPr>
                <w:rFonts w:hint="eastAsia" w:cs="方正仿宋_GBK" w:asciiTheme="minorEastAsia" w:hAnsiTheme="minorEastAsia" w:eastAsiaTheme="minorEastAsia"/>
                <w:color w:val="auto"/>
                <w:sz w:val="28"/>
                <w:szCs w:val="28"/>
                <w:highlight w:val="none"/>
              </w:rPr>
              <w:t>10</w:t>
            </w:r>
            <w:r>
              <w:rPr>
                <w:rFonts w:cs="方正仿宋_GBK" w:asciiTheme="minorEastAsia" w:hAnsiTheme="minorEastAsia" w:eastAsiaTheme="minorEastAsia"/>
                <w:color w:val="auto"/>
                <w:sz w:val="28"/>
                <w:szCs w:val="28"/>
                <w:highlight w:val="none"/>
              </w:rPr>
              <w:t>0000）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0.05</w:t>
            </w:r>
            <w:r>
              <w:rPr>
                <w:rFonts w:cs="方正仿宋_GBK" w:asciiTheme="minorEastAsia" w:hAnsiTheme="minorEastAsia" w:eastAsiaTheme="minorEastAsia"/>
                <w:color w:val="auto"/>
                <w:sz w:val="28"/>
                <w:szCs w:val="28"/>
                <w:highlight w:val="none"/>
              </w:rPr>
              <w:t>%</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0.05</w:t>
            </w:r>
            <w:r>
              <w:rPr>
                <w:rFonts w:cs="方正仿宋_GBK" w:asciiTheme="minorEastAsia" w:hAnsiTheme="minorEastAsia" w:eastAsiaTheme="minorEastAsia"/>
                <w:color w:val="auto"/>
                <w:sz w:val="28"/>
                <w:szCs w:val="28"/>
                <w:highlight w:val="none"/>
              </w:rPr>
              <w:t>%</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100000以上</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0.01%</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0.01%</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0.01%</w:t>
            </w:r>
          </w:p>
        </w:tc>
      </w:tr>
    </w:tbl>
    <w:p>
      <w:pPr>
        <w:autoSpaceDE w:val="0"/>
        <w:autoSpaceDN w:val="0"/>
        <w:spacing w:line="52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注：采购代理服务收费按差额定率累进法计算。例如：某</w:t>
      </w:r>
      <w:r>
        <w:rPr>
          <w:rFonts w:hint="eastAsia" w:ascii="宋体" w:hAnsi="宋体" w:cs="方正仿宋_GBK"/>
          <w:color w:val="auto"/>
          <w:sz w:val="28"/>
          <w:szCs w:val="28"/>
          <w:highlight w:val="none"/>
          <w:lang w:val="en-US" w:eastAsia="zh-CN"/>
        </w:rPr>
        <w:t>货物</w:t>
      </w:r>
      <w:r>
        <w:rPr>
          <w:rFonts w:hint="eastAsia" w:ascii="宋体" w:hAnsi="宋体" w:cs="方正仿宋_GBK"/>
          <w:color w:val="auto"/>
          <w:sz w:val="28"/>
          <w:szCs w:val="28"/>
          <w:highlight w:val="none"/>
        </w:rPr>
        <w:t>采购代理业务中标金额为500万元，计算采购代理服务收费额如下：</w:t>
      </w:r>
    </w:p>
    <w:p>
      <w:pPr>
        <w:autoSpaceDE w:val="0"/>
        <w:autoSpaceDN w:val="0"/>
        <w:spacing w:line="52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100万元×1.5%=1.5万元</w:t>
      </w:r>
    </w:p>
    <w:p>
      <w:pPr>
        <w:autoSpaceDE w:val="0"/>
        <w:autoSpaceDN w:val="0"/>
        <w:spacing w:line="52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（500-100）万元×1.1%=4.4万元</w:t>
      </w:r>
    </w:p>
    <w:p>
      <w:pPr>
        <w:autoSpaceDE w:val="0"/>
        <w:autoSpaceDN w:val="0"/>
        <w:spacing w:line="520" w:lineRule="exact"/>
        <w:ind w:firstLine="420" w:firstLineChars="150"/>
        <w:rPr>
          <w:rFonts w:hint="eastAsia" w:ascii="宋体" w:hAnsi="宋体" w:cs="方正仿宋_GBK"/>
          <w:color w:val="auto"/>
          <w:sz w:val="28"/>
          <w:szCs w:val="28"/>
          <w:highlight w:val="none"/>
        </w:rPr>
      </w:pPr>
      <w:r>
        <w:rPr>
          <w:rFonts w:hint="eastAsia" w:ascii="宋体" w:hAnsi="宋体" w:cs="方正仿宋_GBK"/>
          <w:color w:val="auto"/>
          <w:sz w:val="28"/>
          <w:szCs w:val="28"/>
          <w:highlight w:val="none"/>
        </w:rPr>
        <w:t>实际收费=（1.5+4.4）*折扣率</w:t>
      </w:r>
    </w:p>
    <w:p>
      <w:pPr>
        <w:autoSpaceDE w:val="0"/>
        <w:autoSpaceDN w:val="0"/>
        <w:spacing w:line="520" w:lineRule="exact"/>
        <w:ind w:firstLine="420" w:firstLineChars="150"/>
        <w:rPr>
          <w:color w:val="auto"/>
          <w:highlight w:val="none"/>
        </w:rPr>
      </w:pPr>
      <w:r>
        <w:rPr>
          <w:rFonts w:hint="eastAsia" w:ascii="宋体" w:hAnsi="宋体" w:cs="方正仿宋_GBK"/>
          <w:color w:val="auto"/>
          <w:sz w:val="28"/>
          <w:szCs w:val="28"/>
          <w:highlight w:val="none"/>
        </w:rPr>
        <w:t>采购代理服务费在代理项目中标通知书领取前，采购代理机构自行向中标（成交）人收取。</w:t>
      </w:r>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采购代理费用及支付方式，采购代理机构必须在采购文件中明确注明，告知投标供应商，未告知供应商（中标人）导致其拒不支付采购代理费进而产生损失的，损失由采购代理机构承担，采购人不再另行向采购代理机构支付采购代理费。</w:t>
      </w:r>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（三）多次招标后产生中标人，采购代理机构均按前述标准只收取一次招标服务费。</w:t>
      </w:r>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（四）流标后不再招标、采购人为顺利推动项目实施或因采购政策要求等原因需更换采购代理机构重新实施采购的，采购代理机构需自行承担项目进行所产生的费用。</w:t>
      </w:r>
    </w:p>
    <w:p>
      <w:pPr>
        <w:autoSpaceDE w:val="0"/>
        <w:autoSpaceDN w:val="0"/>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八、履约保证金</w:t>
      </w:r>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合同签订前，中标人应向采购人支付10000元的履约保证金，合同服务期满或者本次遴选文件有规定情形导致合同终止的，采购人按相关规定办理履约保证金退还手续（不计息）。</w:t>
      </w:r>
    </w:p>
    <w:p>
      <w:pPr>
        <w:autoSpaceDE w:val="0"/>
        <w:autoSpaceDN w:val="0"/>
        <w:spacing w:line="520" w:lineRule="exact"/>
        <w:ind w:firstLine="562" w:firstLineChars="200"/>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九、违约责任</w:t>
      </w:r>
    </w:p>
    <w:p>
      <w:pPr>
        <w:autoSpaceDE w:val="0"/>
        <w:autoSpaceDN w:val="0"/>
        <w:spacing w:line="520" w:lineRule="exact"/>
        <w:ind w:firstLine="560" w:firstLineChars="200"/>
        <w:rPr>
          <w:rFonts w:cs="方正仿宋_GBK" w:asciiTheme="minorEastAsia" w:hAnsiTheme="minorEastAsia" w:eastAsiaTheme="minorEastAsia"/>
          <w:color w:val="auto"/>
          <w:sz w:val="28"/>
          <w:szCs w:val="28"/>
          <w:highlight w:val="none"/>
        </w:rPr>
      </w:pPr>
      <w:bookmarkStart w:id="21" w:name="_Hlk127454249"/>
      <w:r>
        <w:rPr>
          <w:rFonts w:hint="eastAsia" w:cs="方正仿宋_GBK" w:asciiTheme="minorEastAsia" w:hAnsiTheme="minorEastAsia" w:eastAsiaTheme="minorEastAsia"/>
          <w:color w:val="auto"/>
          <w:sz w:val="28"/>
          <w:szCs w:val="28"/>
          <w:highlight w:val="none"/>
        </w:rPr>
        <w:t>（一）采购代理机构被查证存在弄虚作假、提供不实资料等方式骗取中标的，采购人将解除其服务合同，同时没收履约保证金。</w:t>
      </w:r>
    </w:p>
    <w:p>
      <w:pPr>
        <w:spacing w:line="520" w:lineRule="exact"/>
        <w:ind w:firstLine="560" w:firstLineChars="200"/>
        <w:rPr>
          <w:rFonts w:hint="eastAsia" w:cs="方正仿宋_GBK" w:asciiTheme="minorEastAsia" w:hAnsiTheme="minorEastAsia" w:eastAsiaTheme="minorEastAsia"/>
          <w:color w:val="FF0000"/>
          <w:sz w:val="28"/>
          <w:szCs w:val="28"/>
          <w:highlight w:val="none"/>
        </w:rPr>
      </w:pPr>
      <w:r>
        <w:rPr>
          <w:rFonts w:hint="eastAsia" w:cs="方正仿宋_GBK" w:asciiTheme="minorEastAsia" w:hAnsiTheme="minorEastAsia" w:eastAsiaTheme="minorEastAsia"/>
          <w:color w:val="auto"/>
          <w:sz w:val="28"/>
          <w:szCs w:val="28"/>
          <w:highlight w:val="none"/>
        </w:rPr>
        <w:t>（二）采购代理机构及其工作人员有重大违法记录</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rPr>
        <w:t>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rPr>
        <w:t>采购人有权单方面终止代理协议，将采购代理机构纳入采购人采购代理黑名单</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rPr>
        <w:t>采购代理机构的违法违规行为给采购人造成损失的，应赔偿其损失。</w:t>
      </w:r>
    </w:p>
    <w:p>
      <w:pPr>
        <w:spacing w:line="520" w:lineRule="exact"/>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因工作过失给学校造成重大损失或严重不良影响的，采购人有权单方面终止代理协议。对采购人造成损失的，采购代理机构承担相应经济责任和法律责任，履约保证金应当优先赔偿采购人的损失且不以此为限，若有剩余再返还。</w:t>
      </w:r>
    </w:p>
    <w:p>
      <w:pPr>
        <w:spacing w:line="520" w:lineRule="exact"/>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四）采购代理机构在采购代理过程中，故意隐瞒发现的问题，有弄虚作假等严重失信行为的，采购人有权单方面终止代理协议。对采购人造成损失的，采购代理机构承担相应经济责任和法律责任，履约保证金应当优先赔偿采购人的损失且不以此为限，若有剩余再返还。</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（五）采购代理机构在采购代理过程中，如不按照本</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要求的服务内容、服务要求等提供采购代理服务，且经采购人书面通知要求整改而未整改的，采购人有权单方面终止代理协议。对采购人造成损失的，采购代理机构承担相应经济责任和法律责任，履约保证金应当优先赔偿采购人的损失且并不以此为限，若有剩余再返还。</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采购代理机构不得因业务量大小、难易程度、地域远近而拒绝采购人委托的采购项目和工作内容，若无故拒绝或者拖延接受学校委托采购项目的，采购人有权单方面终止代理协议，并将其清除出库，并没收履约保证金。</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（七）采购代理机构转包或分包承接项目的，采购人将解除其服务合同，没收履约保证金。</w:t>
      </w:r>
    </w:p>
    <w:p>
      <w:pPr>
        <w:spacing w:line="520" w:lineRule="exact"/>
        <w:ind w:firstLine="420" w:firstLineChars="15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（八）采购代理机构存在商业贿赂或者采取其他不正当手段谋取非法利益等违规行为的，采购人将解除其服务合同，没收履约保证金，并按相关法律法规处理。</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（九）如国家及本市相关法律法规发生变化或与现行法律法规有冲突，则按相关法律法规执行，采购人有权终止合同，双方均不承担责任。</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（十）未尽事宜，双方在合同中予以补充。</w:t>
      </w:r>
      <w:bookmarkEnd w:id="21"/>
    </w:p>
    <w:p>
      <w:pPr>
        <w:autoSpaceDE w:val="0"/>
        <w:autoSpaceDN w:val="0"/>
        <w:spacing w:line="520" w:lineRule="exact"/>
        <w:ind w:firstLine="562" w:firstLineChars="200"/>
        <w:rPr>
          <w:rFonts w:cs="方正仿宋_GBK" w:asciiTheme="minorEastAsia" w:hAnsiTheme="minorEastAsia" w:eastAsiaTheme="minorEastAsia"/>
          <w:b/>
          <w:bCs/>
          <w:color w:val="auto"/>
          <w:sz w:val="28"/>
          <w:szCs w:val="28"/>
          <w:highlight w:val="none"/>
        </w:rPr>
      </w:pPr>
      <w:bookmarkStart w:id="22" w:name="_Toc444601165"/>
      <w:bookmarkStart w:id="23" w:name="_Toc464133372"/>
      <w:bookmarkStart w:id="24" w:name="_Toc448308270"/>
      <w:r>
        <w:rPr>
          <w:rFonts w:hint="eastAsia" w:cs="方正仿宋_GBK" w:asciiTheme="minorEastAsia" w:hAnsiTheme="minorEastAsia" w:eastAsiaTheme="minorEastAsia"/>
          <w:b/>
          <w:bCs/>
          <w:color w:val="auto"/>
          <w:sz w:val="28"/>
          <w:szCs w:val="28"/>
          <w:highlight w:val="none"/>
        </w:rPr>
        <w:t>十、其他</w:t>
      </w:r>
      <w:bookmarkEnd w:id="22"/>
      <w:bookmarkEnd w:id="23"/>
      <w:bookmarkEnd w:id="24"/>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（一）投标人必须在</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中对以上条款和服务承诺明确列出，承诺内容必须达到本篇及</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其他条款的要求。</w:t>
      </w:r>
    </w:p>
    <w:p>
      <w:pPr>
        <w:autoSpaceDE w:val="0"/>
        <w:autoSpaceDN w:val="0"/>
        <w:spacing w:line="520" w:lineRule="exact"/>
        <w:ind w:firstLine="420" w:firstLineChars="150"/>
        <w:rPr>
          <w:rFonts w:cs="方正仿宋_GBK" w:asciiTheme="minorEastAsia" w:hAnsiTheme="minorEastAsia" w:eastAsiaTheme="minorEastAsia"/>
          <w:color w:val="auto"/>
          <w:sz w:val="30"/>
          <w:szCs w:val="30"/>
          <w:highlight w:val="none"/>
        </w:rPr>
      </w:pPr>
      <w:r>
        <w:rPr>
          <w:rFonts w:hint="eastAsia" w:cs="方正仿宋_GBK" w:asciiTheme="minorEastAsia" w:hAnsiTheme="minorEastAsia" w:eastAsiaTheme="minorEastAsia"/>
          <w:color w:val="auto"/>
          <w:sz w:val="28"/>
          <w:szCs w:val="28"/>
          <w:highlight w:val="none"/>
        </w:rPr>
        <w:t>（二）其他未尽事宜由供需双方再另行约定。</w:t>
      </w:r>
      <w:bookmarkEnd w:id="8"/>
      <w:bookmarkEnd w:id="15"/>
      <w:bookmarkEnd w:id="19"/>
    </w:p>
    <w:p>
      <w:pPr>
        <w:autoSpaceDE w:val="0"/>
        <w:autoSpaceDN w:val="0"/>
        <w:adjustRightInd w:val="0"/>
        <w:snapToGrid w:val="0"/>
        <w:ind w:firstLine="480" w:firstLineChars="150"/>
        <w:rPr>
          <w:rFonts w:cs="方正仿宋_GBK" w:asciiTheme="minorEastAsia" w:hAnsiTheme="minorEastAsia" w:eastAsiaTheme="minorEastAsia"/>
          <w:color w:val="auto"/>
          <w:sz w:val="32"/>
          <w:szCs w:val="32"/>
          <w:highlight w:val="none"/>
        </w:rPr>
        <w:sectPr>
          <w:headerReference r:id="rId11" w:type="first"/>
          <w:headerReference r:id="rId10" w:type="default"/>
          <w:pgSz w:w="11906" w:h="16838"/>
          <w:pgMar w:top="1985" w:right="1474" w:bottom="1701" w:left="1588" w:header="851" w:footer="1179" w:gutter="0"/>
          <w:pgNumType w:fmt="numberInDash"/>
          <w:cols w:space="720" w:num="1"/>
          <w:titlePg/>
          <w:docGrid w:linePitch="396" w:charSpace="-1260"/>
        </w:sectPr>
      </w:pPr>
    </w:p>
    <w:p>
      <w:pPr>
        <w:numPr>
          <w:ilvl w:val="0"/>
          <w:numId w:val="2"/>
        </w:numPr>
        <w:adjustRightInd w:val="0"/>
        <w:snapToGrid w:val="0"/>
        <w:ind w:firstLine="2420" w:firstLineChars="550"/>
        <w:rPr>
          <w:rFonts w:cs="方正仿宋_GBK" w:asciiTheme="minorEastAsia" w:hAnsiTheme="minorEastAsia" w:eastAsiaTheme="minorEastAsia"/>
          <w:color w:val="auto"/>
          <w:sz w:val="44"/>
          <w:szCs w:val="44"/>
          <w:highlight w:val="none"/>
        </w:rPr>
      </w:pPr>
      <w:bookmarkStart w:id="25" w:name="_Toc267320057"/>
      <w:bookmarkStart w:id="26" w:name="_Toc485989046"/>
      <w:r>
        <w:rPr>
          <w:rFonts w:hint="eastAsia" w:cs="方正仿宋_GBK" w:asciiTheme="minorEastAsia" w:hAnsiTheme="minorEastAsia" w:eastAsiaTheme="minorEastAsia"/>
          <w:color w:val="auto"/>
          <w:sz w:val="44"/>
          <w:szCs w:val="44"/>
          <w:highlight w:val="none"/>
        </w:rPr>
        <w:t xml:space="preserve"> 投标人须知</w:t>
      </w:r>
    </w:p>
    <w:p>
      <w:pPr>
        <w:pStyle w:val="3"/>
        <w:rPr>
          <w:color w:val="auto"/>
          <w:highlight w:val="none"/>
        </w:rPr>
      </w:pPr>
    </w:p>
    <w:p>
      <w:pPr>
        <w:spacing w:line="520" w:lineRule="exact"/>
        <w:ind w:firstLine="3233" w:firstLineChars="1150"/>
        <w:jc w:val="left"/>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一、说  明</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（一）概述</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1、本</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仅适用于《</w:t>
      </w:r>
      <w:r>
        <w:rPr>
          <w:rFonts w:hint="eastAsia" w:cs="方正仿宋_GBK" w:asciiTheme="minorEastAsia" w:hAnsiTheme="minorEastAsia" w:eastAsiaTheme="minorEastAsia"/>
          <w:color w:val="auto"/>
          <w:sz w:val="28"/>
          <w:szCs w:val="28"/>
          <w:highlight w:val="none"/>
          <w:lang w:val="en-US" w:eastAsia="zh-CN"/>
        </w:rPr>
        <w:t>采购</w:t>
      </w:r>
      <w:r>
        <w:rPr>
          <w:rFonts w:hint="eastAsia" w:cs="方正仿宋_GBK" w:asciiTheme="minorEastAsia" w:hAnsiTheme="minorEastAsia" w:eastAsiaTheme="minorEastAsia"/>
          <w:color w:val="auto"/>
          <w:sz w:val="28"/>
          <w:szCs w:val="28"/>
          <w:highlight w:val="none"/>
        </w:rPr>
        <w:t>公告》中所述的采购项目；</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2、参与招投标的所有各方，对在参与招投标过程中获悉的国家商业、技术秘密以及其他依法应当保密的内容，均负有保密义务，违者应对由此造成的后果承担全部法律责任。</w:t>
      </w:r>
    </w:p>
    <w:p>
      <w:pPr>
        <w:adjustRightInd w:val="0"/>
        <w:snapToGrid w:val="0"/>
        <w:ind w:firstLine="422" w:firstLineChars="15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（二）定义</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1、“采购项目”系指本</w:t>
      </w:r>
      <w:r>
        <w:rPr>
          <w:rFonts w:hint="eastAsia" w:cs="方正仿宋_GBK" w:asciiTheme="minorEastAsia" w:hAnsiTheme="minorEastAsia" w:eastAsiaTheme="minorEastAsia"/>
          <w:color w:val="auto"/>
          <w:sz w:val="28"/>
          <w:szCs w:val="28"/>
          <w:highlight w:val="none"/>
          <w:lang w:val="en-US" w:eastAsia="zh-CN"/>
        </w:rPr>
        <w:t>磋商</w:t>
      </w:r>
      <w:r>
        <w:rPr>
          <w:rFonts w:hint="eastAsia" w:cs="方正仿宋_GBK" w:asciiTheme="minorEastAsia" w:hAnsiTheme="minorEastAsia" w:eastAsiaTheme="minorEastAsia"/>
          <w:color w:val="auto"/>
          <w:sz w:val="28"/>
          <w:szCs w:val="28"/>
          <w:highlight w:val="none"/>
        </w:rPr>
        <w:t>文件里所描述的所需的相关服务；</w:t>
      </w:r>
    </w:p>
    <w:p>
      <w:pPr>
        <w:adjustRightInd w:val="0"/>
        <w:snapToGrid w:val="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xml:space="preserve">    2、“</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”系指组织本次招标采购的</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3、“投标人”系指从采购机构按规定获取</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，并提交</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的供应商；</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4、“中标人”系指经过招标评审，授予合同的投标人；</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5、“服务”系指中标人按照</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规定，必须履行的服务内容、方式、要求等义务。</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（三）合格的投标人</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1、能够遵守国家的有关法律、法规和本次招标的有关规定；</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2、符合《</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》所述投标人的资格要求和特定资格条件；</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3、能够承担投标及合同履约中应承担的全部责任和义务。</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（四）合格的服务</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投标人对所提供的服务应当享有合法的所有权，没有侵犯任何第三方的知识产权、技术秘密等权利，而且不存在任何抵押、留置、查封等产权瑕疵；</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（五）投标委托</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如投标人不是法定代表人，须持有《法定代表人授权书》。</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（六）投标费用</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无论投标结果如何，投标人均应自行承担与投标有关的全部费用。</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（七）信息发布</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本项目所有需要公开的有关信息，</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均通过重庆工程职业技术学院官网公开发布。投标人在参与本采购项目招投标活动期间，请及时关注以上媒体的相关信息，投标人因没有及时关注而未能如期获取相应信息，将会增加投标风险，</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对此不承担任何责任。</w:t>
      </w:r>
    </w:p>
    <w:p>
      <w:pPr>
        <w:spacing w:line="520" w:lineRule="exact"/>
        <w:ind w:firstLine="3233" w:firstLineChars="1150"/>
        <w:jc w:val="left"/>
        <w:rPr>
          <w:rFonts w:hint="eastAsia" w:cs="方正仿宋_GBK" w:asciiTheme="minorEastAsia" w:hAnsiTheme="minorEastAsia" w:eastAsiaTheme="minorEastAsia"/>
          <w:b/>
          <w:bCs/>
          <w:color w:val="auto"/>
          <w:sz w:val="28"/>
          <w:szCs w:val="28"/>
          <w:highlight w:val="none"/>
          <w:lang w:eastAsia="zh-CN"/>
        </w:rPr>
      </w:pPr>
      <w:r>
        <w:rPr>
          <w:rFonts w:hint="eastAsia" w:cs="方正仿宋_GBK" w:asciiTheme="minorEastAsia" w:hAnsiTheme="minorEastAsia" w:eastAsiaTheme="minorEastAsia"/>
          <w:b/>
          <w:bCs/>
          <w:color w:val="auto"/>
          <w:sz w:val="28"/>
          <w:szCs w:val="28"/>
          <w:highlight w:val="none"/>
        </w:rPr>
        <w:t>二、</w:t>
      </w:r>
      <w:r>
        <w:rPr>
          <w:rFonts w:hint="eastAsia" w:cs="方正仿宋_GBK" w:asciiTheme="minorEastAsia" w:hAnsiTheme="minorEastAsia" w:eastAsiaTheme="minorEastAsia"/>
          <w:b/>
          <w:bCs/>
          <w:color w:val="auto"/>
          <w:sz w:val="28"/>
          <w:szCs w:val="28"/>
          <w:highlight w:val="none"/>
          <w:lang w:eastAsia="zh-CN"/>
        </w:rPr>
        <w:t>采购文件</w:t>
      </w:r>
    </w:p>
    <w:p>
      <w:pPr>
        <w:adjustRightInd w:val="0"/>
        <w:snapToGrid w:val="0"/>
        <w:ind w:firstLine="422" w:firstLineChars="15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（一）</w:t>
      </w:r>
      <w:r>
        <w:rPr>
          <w:rFonts w:hint="eastAsia" w:cs="方正仿宋_GBK" w:asciiTheme="minorEastAsia" w:hAnsiTheme="minorEastAsia" w:eastAsiaTheme="minorEastAsia"/>
          <w:b/>
          <w:color w:val="auto"/>
          <w:sz w:val="28"/>
          <w:szCs w:val="28"/>
          <w:highlight w:val="none"/>
          <w:lang w:eastAsia="zh-CN"/>
        </w:rPr>
        <w:t>采购文件</w:t>
      </w:r>
      <w:r>
        <w:rPr>
          <w:rFonts w:hint="eastAsia" w:cs="方正仿宋_GBK" w:asciiTheme="minorEastAsia" w:hAnsiTheme="minorEastAsia" w:eastAsiaTheme="minorEastAsia"/>
          <w:b/>
          <w:color w:val="auto"/>
          <w:sz w:val="28"/>
          <w:szCs w:val="28"/>
          <w:highlight w:val="none"/>
        </w:rPr>
        <w:t>的内容</w:t>
      </w:r>
    </w:p>
    <w:p>
      <w:pPr>
        <w:adjustRightInd w:val="0"/>
        <w:snapToGrid w:val="0"/>
        <w:ind w:firstLine="560" w:firstLineChars="200"/>
        <w:rPr>
          <w:color w:val="auto"/>
          <w:highlight w:val="none"/>
        </w:rPr>
      </w:pP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由</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、项目技术和商务要求、投标人须知、合同样本、</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格式/附件等内容构成。</w:t>
      </w:r>
    </w:p>
    <w:p>
      <w:pPr>
        <w:numPr>
          <w:ilvl w:val="0"/>
          <w:numId w:val="3"/>
        </w:numPr>
        <w:spacing w:line="520" w:lineRule="exact"/>
        <w:ind w:firstLine="3233" w:firstLineChars="1150"/>
        <w:jc w:val="left"/>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lang w:eastAsia="zh-CN"/>
        </w:rPr>
        <w:t>响应文件</w:t>
      </w:r>
      <w:r>
        <w:rPr>
          <w:rFonts w:hint="eastAsia" w:cs="方正仿宋_GBK" w:asciiTheme="minorEastAsia" w:hAnsiTheme="minorEastAsia" w:eastAsiaTheme="minorEastAsia"/>
          <w:b/>
          <w:bCs/>
          <w:color w:val="auto"/>
          <w:sz w:val="28"/>
          <w:szCs w:val="28"/>
          <w:highlight w:val="none"/>
        </w:rPr>
        <w:t>编制</w:t>
      </w:r>
    </w:p>
    <w:p>
      <w:pPr>
        <w:adjustRightInd w:val="0"/>
        <w:snapToGrid w:val="0"/>
        <w:ind w:firstLine="422"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（一）注意事项</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投标人应仔细阅读</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，在完全了解全部内容后，依法真实编制</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。如果没有按照</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要求提交全部</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或资料，没有对</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实质性响应，可能导致投标被拒绝。</w:t>
      </w:r>
    </w:p>
    <w:p>
      <w:pPr>
        <w:adjustRightInd w:val="0"/>
        <w:snapToGrid w:val="0"/>
        <w:ind w:firstLine="422"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（二）</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的语言及计量单位</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和来往信函均以中文书写。</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中所使用的计量单位，除</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中有特殊要求外，均应采用国家法定计量单位。</w:t>
      </w:r>
    </w:p>
    <w:p>
      <w:pPr>
        <w:adjustRightInd w:val="0"/>
        <w:snapToGrid w:val="0"/>
        <w:ind w:firstLine="422" w:firstLineChars="150"/>
        <w:jc w:val="left"/>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（三）</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组成</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详见</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 xml:space="preserve">“第五部分 </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格式”</w:t>
      </w:r>
    </w:p>
    <w:p>
      <w:pPr>
        <w:adjustRightInd w:val="0"/>
        <w:snapToGrid w:val="0"/>
        <w:ind w:firstLine="422"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（四）</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的格式规定和签署</w:t>
      </w:r>
    </w:p>
    <w:p>
      <w:pPr>
        <w:adjustRightInd w:val="0"/>
        <w:snapToGrid w:val="0"/>
        <w:ind w:firstLine="420"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xml:space="preserve"> 1、</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应当工整、规范、统一、清晰，采用A4篇幅纸装订成册、编注页码。</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2、投标方应当按照</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规定的格式填写</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开始部分应当有目录。</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3、投标方名称应填写全称，同时加盖公章，公章与全称相符。</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一式四份，其中正本一份，副本二份，电子文档一份（电子文档内容应与</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正本一致，推荐采用光盘或U盘为文件载体）。每套</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须在封面清楚地标明“正本”、“副本”或“电子文档”，副本应为正本的完整复印件，副本与正本不一致时以正本为准。</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电子文档与纸质</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正本不一致时，以纸质</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正本为准。</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5、</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必须打印或使用黑色、蓝黑色墨水填写。</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6、</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必须由法定代表人或授权代表签署。</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7、</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不得随意涂改或增删。如有修改错漏之处，必须由法定代表人或授权代表人签字、盖章。法定代表人签字或签章均视为有效。</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8、</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因字迹潦草或表述不清以及复印件不清所引起的后果由投标方自行负责。</w:t>
      </w:r>
    </w:p>
    <w:p>
      <w:pPr>
        <w:adjustRightInd w:val="0"/>
        <w:snapToGrid w:val="0"/>
        <w:ind w:firstLine="422"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（五）</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有效期</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自提交截止之日起</w:t>
      </w:r>
      <w:r>
        <w:rPr>
          <w:rFonts w:hint="eastAsia" w:cs="方正仿宋_GBK" w:asciiTheme="minorEastAsia" w:hAnsiTheme="minorEastAsia" w:eastAsiaTheme="minorEastAsia"/>
          <w:b/>
          <w:color w:val="auto"/>
          <w:sz w:val="28"/>
          <w:szCs w:val="28"/>
          <w:highlight w:val="none"/>
        </w:rPr>
        <w:t>90</w:t>
      </w:r>
      <w:r>
        <w:rPr>
          <w:rFonts w:hint="eastAsia" w:cs="方正仿宋_GBK" w:asciiTheme="minorEastAsia" w:hAnsiTheme="minorEastAsia" w:eastAsiaTheme="minorEastAsia"/>
          <w:color w:val="auto"/>
          <w:sz w:val="28"/>
          <w:szCs w:val="28"/>
          <w:highlight w:val="none"/>
        </w:rPr>
        <w:t>天内保持有效。</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有效期需要延长的，</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与投标人进行协商，并以书面形式予以确认。同意延长有效期的投标人不能修改</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w:t>
      </w:r>
    </w:p>
    <w:p>
      <w:pPr>
        <w:adjustRightInd w:val="0"/>
        <w:snapToGrid w:val="0"/>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3、采购过程中，投标人发生合并、分立、破产等重大变化时，应及时书面告知</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w:t>
      </w:r>
    </w:p>
    <w:p>
      <w:pPr>
        <w:adjustRightInd w:val="0"/>
        <w:snapToGrid w:val="0"/>
        <w:ind w:firstLine="422" w:firstLineChars="150"/>
        <w:rPr>
          <w:rFonts w:hint="eastAsia" w:cs="方正仿宋_GBK" w:asciiTheme="minorEastAsia" w:hAnsiTheme="minorEastAsia" w:eastAsiaTheme="minorEastAsia"/>
          <w:color w:val="auto"/>
          <w:sz w:val="28"/>
          <w:szCs w:val="28"/>
          <w:highlight w:val="none"/>
          <w:lang w:eastAsia="zh-CN"/>
        </w:rPr>
      </w:pPr>
      <w:r>
        <w:rPr>
          <w:rFonts w:hint="eastAsia" w:cs="方正仿宋_GBK" w:asciiTheme="minorEastAsia" w:hAnsiTheme="minorEastAsia" w:eastAsiaTheme="minorEastAsia"/>
          <w:b/>
          <w:color w:val="auto"/>
          <w:sz w:val="28"/>
          <w:szCs w:val="28"/>
          <w:highlight w:val="none"/>
        </w:rPr>
        <w:t>（六）</w:t>
      </w:r>
      <w:r>
        <w:rPr>
          <w:rFonts w:hint="eastAsia" w:cs="方正仿宋_GBK" w:asciiTheme="minorEastAsia" w:hAnsiTheme="minorEastAsia" w:eastAsiaTheme="minorEastAsia"/>
          <w:b/>
          <w:color w:val="auto"/>
          <w:sz w:val="28"/>
          <w:szCs w:val="28"/>
          <w:highlight w:val="none"/>
          <w:lang w:eastAsia="zh-CN"/>
        </w:rPr>
        <w:t>磋商保证金</w:t>
      </w:r>
    </w:p>
    <w:p>
      <w:pPr>
        <w:adjustRightInd w:val="0"/>
        <w:snapToGrid w:val="0"/>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投标人应按照本文件第一部分“</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”第四条“</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”的有关要求缴纳</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w:t>
      </w:r>
    </w:p>
    <w:p>
      <w:pPr>
        <w:spacing w:line="520" w:lineRule="exact"/>
        <w:jc w:val="center"/>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四、</w:t>
      </w:r>
      <w:r>
        <w:rPr>
          <w:rFonts w:hint="eastAsia" w:cs="方正仿宋_GBK" w:asciiTheme="minorEastAsia" w:hAnsiTheme="minorEastAsia" w:eastAsiaTheme="minorEastAsia"/>
          <w:b/>
          <w:bCs/>
          <w:color w:val="auto"/>
          <w:sz w:val="28"/>
          <w:szCs w:val="28"/>
          <w:highlight w:val="none"/>
          <w:lang w:eastAsia="zh-CN"/>
        </w:rPr>
        <w:t>响应文件</w:t>
      </w:r>
      <w:r>
        <w:rPr>
          <w:rFonts w:hint="eastAsia" w:cs="方正仿宋_GBK" w:asciiTheme="minorEastAsia" w:hAnsiTheme="minorEastAsia" w:eastAsiaTheme="minorEastAsia"/>
          <w:b/>
          <w:bCs/>
          <w:color w:val="auto"/>
          <w:sz w:val="28"/>
          <w:szCs w:val="28"/>
          <w:highlight w:val="none"/>
        </w:rPr>
        <w:t>递交</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（一）</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密封及标记</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w:t>
      </w:r>
      <w:r>
        <w:rPr>
          <w:rFonts w:hint="eastAsia" w:cs="方正仿宋_GBK" w:asciiTheme="minorEastAsia" w:hAnsiTheme="minorEastAsia" w:eastAsiaTheme="minorEastAsia"/>
          <w:b/>
          <w:color w:val="auto"/>
          <w:sz w:val="28"/>
          <w:szCs w:val="28"/>
          <w:highlight w:val="none"/>
        </w:rPr>
        <w:t>投标人应当将</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的正本和副本统一装入密封袋内，所有密封袋封口处应当有投标方单位公章,封面上注明“</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、项目名称、项目编号、包号、投标方名称”和“开标时启封”字样。</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2、投标人应当在</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明确的提交</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截止时间前，将</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送达</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指定地点。逾期提交的</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将拒收。</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3、电报、电话、电传、邮寄等形式的</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概不接受。</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未按要求密封、标记的，</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将拒收。</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（二）</w:t>
      </w:r>
      <w:r>
        <w:rPr>
          <w:rFonts w:hint="eastAsia" w:cs="方正仿宋_GBK" w:asciiTheme="minorEastAsia" w:hAnsiTheme="minorEastAsia" w:eastAsiaTheme="minorEastAsia"/>
          <w:b/>
          <w:color w:val="auto"/>
          <w:sz w:val="28"/>
          <w:szCs w:val="28"/>
          <w:highlight w:val="none"/>
          <w:lang w:eastAsia="zh-CN"/>
        </w:rPr>
        <w:t>响应文件</w:t>
      </w:r>
      <w:r>
        <w:rPr>
          <w:rFonts w:hint="eastAsia" w:cs="方正仿宋_GBK" w:asciiTheme="minorEastAsia" w:hAnsiTheme="minorEastAsia" w:eastAsiaTheme="minorEastAsia"/>
          <w:b/>
          <w:color w:val="auto"/>
          <w:sz w:val="28"/>
          <w:szCs w:val="28"/>
          <w:highlight w:val="none"/>
        </w:rPr>
        <w:t>的修改和撤回</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1、投标方在</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提交截止时间前，可以对所提交的</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进行补充、修改或者撤回。补充、修改的内容应当以书面形式通知</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，并按照</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要求签署、盖章，作为</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的组成部分。</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2、投标截止时间之后，</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将不接受对</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内容的实质性修改。</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3、投标人修改补充</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的书面材料，须密封送达投标地点，并在封面上注明“投标修改文件、项目名称、项目编号、投标人名称”和“开标时启封”字样。</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4、撤回</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应以书面形式通知</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。如采取电报或传真等形式撤回</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，必须补充法定代表人或授权代表人签署的要求撤回</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的正式文件。开标后，投标人不得撤回</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，否则</w:t>
      </w:r>
      <w:r>
        <w:rPr>
          <w:rFonts w:hint="eastAsia" w:cs="方正仿宋_GBK" w:asciiTheme="minorEastAsia" w:hAnsiTheme="minorEastAsia" w:eastAsiaTheme="minorEastAsia"/>
          <w:color w:val="auto"/>
          <w:sz w:val="28"/>
          <w:szCs w:val="28"/>
          <w:highlight w:val="none"/>
          <w:lang w:eastAsia="zh-CN"/>
        </w:rPr>
        <w:t>磋商保证金</w:t>
      </w:r>
      <w:r>
        <w:rPr>
          <w:rFonts w:hint="eastAsia" w:cs="方正仿宋_GBK" w:asciiTheme="minorEastAsia" w:hAnsiTheme="minorEastAsia" w:eastAsiaTheme="minorEastAsia"/>
          <w:color w:val="auto"/>
          <w:sz w:val="28"/>
          <w:szCs w:val="28"/>
          <w:highlight w:val="none"/>
        </w:rPr>
        <w:t>不予退还。</w:t>
      </w:r>
    </w:p>
    <w:p>
      <w:pPr>
        <w:spacing w:line="520" w:lineRule="exact"/>
        <w:jc w:val="center"/>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五、开标与评标</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（一）开标</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1、投标人不足3家的不得开标。</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按照</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规定的时间、地点开标。</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须有法定代表人或其授权代表参加并签到。竞争性磋商以抽签的形式确定磋商顺序，由本项目依法组建的竞争性磋商小组（以下简称磋商小组）分别与各供应商进行磋商。</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3、开标时，由投标人代表检查</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的密封情况并当场公布检查结果。</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4、投标人对开标有异议的，应当在开标现场提出，</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应当现场作出答复。</w:t>
      </w:r>
    </w:p>
    <w:p>
      <w:pPr>
        <w:adjustRightInd w:val="0"/>
        <w:snapToGrid w:val="0"/>
        <w:ind w:firstLine="422"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（二）评标</w:t>
      </w:r>
    </w:p>
    <w:p>
      <w:pPr>
        <w:adjustRightInd w:val="0"/>
        <w:snapToGrid w:val="0"/>
        <w:ind w:firstLine="560" w:firstLineChars="200"/>
        <w:rPr>
          <w:rFonts w:hint="eastAsia" w:cs="方正仿宋_GBK" w:asciiTheme="minorEastAsia" w:hAnsiTheme="minorEastAsia" w:eastAsiaTheme="minorEastAsia"/>
          <w:color w:val="auto"/>
          <w:sz w:val="28"/>
          <w:szCs w:val="28"/>
          <w:highlight w:val="none"/>
          <w:lang w:eastAsia="zh-CN"/>
        </w:rPr>
      </w:pPr>
      <w:r>
        <w:rPr>
          <w:rFonts w:hint="eastAsia" w:cs="方正仿宋_GBK" w:asciiTheme="minorEastAsia" w:hAnsiTheme="minorEastAsia" w:eastAsiaTheme="minorEastAsia"/>
          <w:color w:val="auto"/>
          <w:sz w:val="28"/>
          <w:szCs w:val="28"/>
          <w:highlight w:val="none"/>
        </w:rPr>
        <w:t>1、</w:t>
      </w:r>
      <w:r>
        <w:rPr>
          <w:rFonts w:hint="eastAsia" w:cs="方正仿宋_GBK" w:asciiTheme="minorEastAsia" w:hAnsiTheme="minorEastAsia" w:eastAsiaTheme="minorEastAsia"/>
          <w:color w:val="auto"/>
          <w:sz w:val="28"/>
          <w:szCs w:val="28"/>
          <w:highlight w:val="none"/>
          <w:lang w:eastAsia="zh-CN"/>
        </w:rPr>
        <w:t>竞争性磋商小组</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根据规定组建</w:t>
      </w:r>
      <w:r>
        <w:rPr>
          <w:rFonts w:hint="eastAsia" w:cs="方正仿宋_GBK" w:asciiTheme="minorEastAsia" w:hAnsiTheme="minorEastAsia" w:eastAsiaTheme="minorEastAsia"/>
          <w:color w:val="auto"/>
          <w:sz w:val="28"/>
          <w:szCs w:val="28"/>
          <w:highlight w:val="none"/>
          <w:lang w:eastAsia="zh-CN"/>
        </w:rPr>
        <w:t>磋商小组</w:t>
      </w:r>
      <w:r>
        <w:rPr>
          <w:rFonts w:hint="eastAsia" w:cs="方正仿宋_GBK" w:asciiTheme="minorEastAsia" w:hAnsiTheme="minorEastAsia" w:eastAsiaTheme="minorEastAsia"/>
          <w:color w:val="auto"/>
          <w:sz w:val="28"/>
          <w:szCs w:val="28"/>
          <w:highlight w:val="none"/>
        </w:rPr>
        <w:t>，其成员由技术、经济等方面3人</w:t>
      </w:r>
      <w:r>
        <w:rPr>
          <w:rFonts w:hint="eastAsia" w:cs="方正仿宋_GBK" w:asciiTheme="minorEastAsia" w:hAnsiTheme="minorEastAsia" w:eastAsiaTheme="minorEastAsia"/>
          <w:color w:val="auto"/>
          <w:sz w:val="28"/>
          <w:szCs w:val="28"/>
          <w:highlight w:val="none"/>
          <w:lang w:val="en-US" w:eastAsia="zh-CN"/>
        </w:rPr>
        <w:t>及</w:t>
      </w:r>
      <w:r>
        <w:rPr>
          <w:rFonts w:hint="eastAsia" w:cs="方正仿宋_GBK" w:asciiTheme="minorEastAsia" w:hAnsiTheme="minorEastAsia" w:eastAsiaTheme="minorEastAsia"/>
          <w:color w:val="auto"/>
          <w:sz w:val="28"/>
          <w:szCs w:val="28"/>
          <w:highlight w:val="none"/>
        </w:rPr>
        <w:t>以上单数的专家组成。</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2、评标办法</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综合评分法。技术部分和商务部分评审总得分按由高到低的顺序排列，推荐总得分70分及以上的投标人作为中标候选人。分包一排名第一、第二、第三、第四的为中标人。分包二排名第一、第二的为中标人。总得分相同的，按报价由低到高的顺序排列；若总得分和报价均相同的，按照商务评审得分由高到低顺序排列；若总得分、报价、商务部分得分均相同的，按照技术部分得分由高到低顺序排列。如中标人因不可抗力或自身原因放弃中标的，</w:t>
      </w:r>
      <w:r>
        <w:rPr>
          <w:rFonts w:hint="eastAsia" w:cs="方正仿宋_GBK" w:asciiTheme="minorEastAsia" w:hAnsiTheme="minorEastAsia" w:eastAsiaTheme="minorEastAsia"/>
          <w:color w:val="auto"/>
          <w:sz w:val="28"/>
          <w:szCs w:val="28"/>
          <w:highlight w:val="none"/>
          <w:lang w:eastAsia="zh-CN"/>
        </w:rPr>
        <w:t>采购人</w:t>
      </w:r>
      <w:r>
        <w:rPr>
          <w:rFonts w:hint="eastAsia" w:cs="方正仿宋_GBK" w:asciiTheme="minorEastAsia" w:hAnsiTheme="minorEastAsia" w:eastAsiaTheme="minorEastAsia"/>
          <w:color w:val="auto"/>
          <w:sz w:val="28"/>
          <w:szCs w:val="28"/>
          <w:highlight w:val="none"/>
        </w:rPr>
        <w:t>将根据排序结果顺次递补中标候选人为中标人，以此类推。</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w:t>
      </w:r>
      <w:r>
        <w:rPr>
          <w:rFonts w:hint="eastAsia" w:cs="方正仿宋_GBK" w:asciiTheme="minorEastAsia" w:hAnsiTheme="minorEastAsia" w:eastAsiaTheme="minorEastAsia"/>
          <w:color w:val="auto"/>
          <w:sz w:val="28"/>
          <w:szCs w:val="28"/>
          <w:highlight w:val="none"/>
          <w:lang w:eastAsia="zh-CN"/>
        </w:rPr>
        <w:t>竞争性磋商小组</w:t>
      </w:r>
      <w:r>
        <w:rPr>
          <w:rFonts w:hint="eastAsia" w:cs="方正仿宋_GBK" w:asciiTheme="minorEastAsia" w:hAnsiTheme="minorEastAsia" w:eastAsiaTheme="minorEastAsia"/>
          <w:color w:val="auto"/>
          <w:sz w:val="28"/>
          <w:szCs w:val="28"/>
          <w:highlight w:val="none"/>
        </w:rPr>
        <w:t>评审程序</w:t>
      </w:r>
    </w:p>
    <w:p>
      <w:pPr>
        <w:adjustRightInd w:val="0"/>
        <w:snapToGrid w:val="0"/>
        <w:ind w:firstLine="422" w:firstLineChars="15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（1）审阅</w:t>
      </w:r>
      <w:r>
        <w:rPr>
          <w:rFonts w:hint="eastAsia" w:cs="方正仿宋_GBK" w:asciiTheme="minorEastAsia" w:hAnsiTheme="minorEastAsia" w:eastAsiaTheme="minorEastAsia"/>
          <w:b/>
          <w:color w:val="auto"/>
          <w:sz w:val="28"/>
          <w:szCs w:val="28"/>
          <w:highlight w:val="none"/>
          <w:lang w:eastAsia="zh-CN"/>
        </w:rPr>
        <w:t>采购文件</w:t>
      </w:r>
      <w:r>
        <w:rPr>
          <w:rFonts w:hint="eastAsia" w:cs="方正仿宋_GBK" w:asciiTheme="minorEastAsia" w:hAnsiTheme="minorEastAsia" w:eastAsiaTheme="minorEastAsia"/>
          <w:b/>
          <w:color w:val="auto"/>
          <w:sz w:val="28"/>
          <w:szCs w:val="28"/>
          <w:highlight w:val="none"/>
        </w:rPr>
        <w:t>。</w:t>
      </w:r>
      <w:r>
        <w:rPr>
          <w:rFonts w:hint="eastAsia" w:cs="方正仿宋_GBK" w:asciiTheme="minorEastAsia" w:hAnsiTheme="minorEastAsia" w:eastAsiaTheme="minorEastAsia"/>
          <w:color w:val="auto"/>
          <w:sz w:val="28"/>
          <w:szCs w:val="28"/>
          <w:highlight w:val="none"/>
        </w:rPr>
        <w:t>重点审查</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投标人须知中无效投标条款、采购项目技术和商务要求、资格性符合性审查要求，评标方法和标准细则等规定要求。</w:t>
      </w:r>
    </w:p>
    <w:p>
      <w:pPr>
        <w:adjustRightInd w:val="0"/>
        <w:snapToGrid w:val="0"/>
        <w:ind w:firstLine="422" w:firstLineChars="15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（2）资格性符合性审查。</w:t>
      </w:r>
      <w:r>
        <w:rPr>
          <w:rFonts w:hint="eastAsia" w:cs="方正仿宋_GBK" w:asciiTheme="minorEastAsia" w:hAnsiTheme="minorEastAsia" w:eastAsiaTheme="minorEastAsia"/>
          <w:color w:val="auto"/>
          <w:sz w:val="28"/>
          <w:szCs w:val="28"/>
          <w:highlight w:val="none"/>
        </w:rPr>
        <w:t>根据</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规定，</w:t>
      </w:r>
      <w:r>
        <w:rPr>
          <w:rFonts w:hint="eastAsia" w:cs="方正仿宋_GBK" w:asciiTheme="minorEastAsia" w:hAnsiTheme="minorEastAsia" w:eastAsiaTheme="minorEastAsia"/>
          <w:color w:val="auto"/>
          <w:sz w:val="28"/>
          <w:szCs w:val="28"/>
          <w:highlight w:val="none"/>
          <w:lang w:eastAsia="zh-CN"/>
        </w:rPr>
        <w:t>磋商小组</w:t>
      </w:r>
      <w:r>
        <w:rPr>
          <w:rFonts w:hint="eastAsia" w:cs="方正仿宋_GBK" w:asciiTheme="minorEastAsia" w:hAnsiTheme="minorEastAsia" w:eastAsiaTheme="minorEastAsia"/>
          <w:color w:val="auto"/>
          <w:sz w:val="28"/>
          <w:szCs w:val="28"/>
          <w:highlight w:val="none"/>
        </w:rPr>
        <w:t>对各供应商</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资格条件、响应文件的有效性、完整性和响应程度进行审查，审查的内容包括供应商营业执照和诚信声明、特定资格条件证明文件、供应商法定代表人身份证明书和授权代表委托书身份证明等，并填写《资格性、符合性审查表》，具体审查项目见下表：</w:t>
      </w:r>
    </w:p>
    <w:tbl>
      <w:tblPr>
        <w:tblStyle w:val="21"/>
        <w:tblpPr w:leftFromText="180" w:rightFromText="180" w:vertAnchor="text" w:horzAnchor="page" w:tblpX="1481" w:tblpY="25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992"/>
        <w:gridCol w:w="226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vAlign w:val="center"/>
          </w:tcPr>
          <w:p>
            <w:pPr>
              <w:jc w:val="center"/>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内容</w:t>
            </w:r>
          </w:p>
        </w:tc>
        <w:tc>
          <w:tcPr>
            <w:tcW w:w="3969" w:type="dxa"/>
            <w:gridSpan w:val="3"/>
            <w:vAlign w:val="center"/>
          </w:tcPr>
          <w:p>
            <w:pPr>
              <w:jc w:val="center"/>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检查因素</w:t>
            </w:r>
          </w:p>
        </w:tc>
        <w:tc>
          <w:tcPr>
            <w:tcW w:w="4820" w:type="dxa"/>
            <w:vAlign w:val="center"/>
          </w:tcPr>
          <w:p>
            <w:pPr>
              <w:jc w:val="center"/>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851" w:type="dxa"/>
            <w:vMerge w:val="restart"/>
            <w:vAlign w:val="center"/>
          </w:tcPr>
          <w:p>
            <w:pPr>
              <w:adjustRightInd w:val="0"/>
              <w:snapToGrid w:val="0"/>
              <w:jc w:val="center"/>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资格性审查</w:t>
            </w:r>
          </w:p>
        </w:tc>
        <w:tc>
          <w:tcPr>
            <w:tcW w:w="709" w:type="dxa"/>
            <w:vMerge w:val="restart"/>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基本资格条件</w:t>
            </w:r>
          </w:p>
        </w:tc>
        <w:tc>
          <w:tcPr>
            <w:tcW w:w="3260" w:type="dxa"/>
            <w:gridSpan w:val="2"/>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具有独立承担民事责任的能力</w:t>
            </w:r>
          </w:p>
        </w:tc>
        <w:tc>
          <w:tcPr>
            <w:tcW w:w="4820"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1.提供《营业执照》副本（提供复印件）；2.法定代表人身份证明和法定代表人授权代表委托书。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709" w:type="dxa"/>
            <w:vMerge w:val="continue"/>
            <w:vAlign w:val="center"/>
          </w:tcPr>
          <w:p>
            <w:pPr>
              <w:adjustRightInd w:val="0"/>
              <w:snapToGrid w:val="0"/>
              <w:rPr>
                <w:rFonts w:cs="方正仿宋_GBK" w:asciiTheme="minorEastAsia" w:hAnsiTheme="minorEastAsia" w:eastAsiaTheme="minorEastAsia"/>
                <w:color w:val="auto"/>
                <w:sz w:val="21"/>
                <w:szCs w:val="21"/>
                <w:highlight w:val="none"/>
              </w:rPr>
            </w:pPr>
          </w:p>
        </w:tc>
        <w:tc>
          <w:tcPr>
            <w:tcW w:w="3260" w:type="dxa"/>
            <w:gridSpan w:val="2"/>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具有良好的商业信誉和健全的财务会计制度</w:t>
            </w:r>
          </w:p>
        </w:tc>
        <w:tc>
          <w:tcPr>
            <w:tcW w:w="4820" w:type="dxa"/>
            <w:vMerge w:val="restart"/>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 xml:space="preserve">投标人提供“基本资格条件承诺函”（详见第五部分  </w:t>
            </w:r>
            <w:r>
              <w:rPr>
                <w:rFonts w:hint="eastAsia" w:cs="方正仿宋_GBK" w:asciiTheme="minorEastAsia" w:hAnsiTheme="minorEastAsia" w:eastAsiaTheme="minorEastAsia"/>
                <w:color w:val="auto"/>
                <w:sz w:val="21"/>
                <w:szCs w:val="21"/>
                <w:highlight w:val="none"/>
                <w:lang w:eastAsia="zh-CN"/>
              </w:rPr>
              <w:t>响应文件</w:t>
            </w:r>
            <w:r>
              <w:rPr>
                <w:rFonts w:hint="eastAsia" w:cs="方正仿宋_GBK" w:asciiTheme="minorEastAsia" w:hAnsiTheme="minorEastAsia" w:eastAsiaTheme="minorEastAsia"/>
                <w:color w:val="auto"/>
                <w:sz w:val="21"/>
                <w:szCs w:val="21"/>
                <w:highlight w:val="none"/>
              </w:rPr>
              <w:t>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709" w:type="dxa"/>
            <w:vMerge w:val="continue"/>
            <w:vAlign w:val="center"/>
          </w:tcPr>
          <w:p>
            <w:pPr>
              <w:adjustRightInd w:val="0"/>
              <w:snapToGrid w:val="0"/>
              <w:rPr>
                <w:rFonts w:cs="方正仿宋_GBK" w:asciiTheme="minorEastAsia" w:hAnsiTheme="minorEastAsia" w:eastAsiaTheme="minorEastAsia"/>
                <w:color w:val="auto"/>
                <w:sz w:val="21"/>
                <w:szCs w:val="21"/>
                <w:highlight w:val="none"/>
              </w:rPr>
            </w:pPr>
          </w:p>
        </w:tc>
        <w:tc>
          <w:tcPr>
            <w:tcW w:w="3260" w:type="dxa"/>
            <w:gridSpan w:val="2"/>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具有履行合同所必需的设备和专业技术能力</w:t>
            </w:r>
          </w:p>
        </w:tc>
        <w:tc>
          <w:tcPr>
            <w:tcW w:w="4820" w:type="dxa"/>
            <w:vMerge w:val="continue"/>
            <w:vAlign w:val="center"/>
          </w:tcPr>
          <w:p>
            <w:pPr>
              <w:adjustRightInd w:val="0"/>
              <w:snapToGrid w:val="0"/>
              <w:rPr>
                <w:rFonts w:cs="方正仿宋_GBK"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709" w:type="dxa"/>
            <w:vMerge w:val="continue"/>
            <w:vAlign w:val="center"/>
          </w:tcPr>
          <w:p>
            <w:pPr>
              <w:adjustRightInd w:val="0"/>
              <w:snapToGrid w:val="0"/>
              <w:rPr>
                <w:rFonts w:cs="方正仿宋_GBK" w:asciiTheme="minorEastAsia" w:hAnsiTheme="minorEastAsia" w:eastAsiaTheme="minorEastAsia"/>
                <w:color w:val="auto"/>
                <w:sz w:val="21"/>
                <w:szCs w:val="21"/>
                <w:highlight w:val="none"/>
              </w:rPr>
            </w:pPr>
          </w:p>
        </w:tc>
        <w:tc>
          <w:tcPr>
            <w:tcW w:w="3260" w:type="dxa"/>
            <w:gridSpan w:val="2"/>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有依法缴纳税收和社会保障金的良好记录</w:t>
            </w:r>
          </w:p>
        </w:tc>
        <w:tc>
          <w:tcPr>
            <w:tcW w:w="4820" w:type="dxa"/>
            <w:vMerge w:val="continue"/>
            <w:vAlign w:val="center"/>
          </w:tcPr>
          <w:p>
            <w:pPr>
              <w:adjustRightInd w:val="0"/>
              <w:snapToGrid w:val="0"/>
              <w:jc w:val="left"/>
              <w:rPr>
                <w:rFonts w:cs="方正仿宋_GBK"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709" w:type="dxa"/>
            <w:vMerge w:val="continue"/>
            <w:vAlign w:val="center"/>
          </w:tcPr>
          <w:p>
            <w:pPr>
              <w:adjustRightInd w:val="0"/>
              <w:snapToGrid w:val="0"/>
              <w:rPr>
                <w:rFonts w:cs="方正仿宋_GBK" w:asciiTheme="minorEastAsia" w:hAnsiTheme="minorEastAsia" w:eastAsiaTheme="minorEastAsia"/>
                <w:color w:val="auto"/>
                <w:sz w:val="21"/>
                <w:szCs w:val="21"/>
                <w:highlight w:val="none"/>
              </w:rPr>
            </w:pPr>
          </w:p>
        </w:tc>
        <w:tc>
          <w:tcPr>
            <w:tcW w:w="3260" w:type="dxa"/>
            <w:gridSpan w:val="2"/>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近三年内，在经营活动中没有重大违法记录</w:t>
            </w:r>
            <w:r>
              <w:rPr>
                <w:rFonts w:hint="eastAsia" w:cs="方正仿宋_GBK" w:asciiTheme="minorEastAsia" w:hAnsiTheme="minorEastAsia" w:eastAsiaTheme="minorEastAsia"/>
                <w:color w:val="auto"/>
                <w:sz w:val="21"/>
                <w:szCs w:val="21"/>
                <w:highlight w:val="none"/>
                <w:lang w:eastAsia="zh-CN"/>
              </w:rPr>
              <w:t>（</w:t>
            </w:r>
            <w:r>
              <w:rPr>
                <w:rFonts w:hint="eastAsia" w:ascii="宋体" w:hAnsi="宋体" w:cs="宋体"/>
                <w:color w:val="auto"/>
                <w:kern w:val="0"/>
                <w:sz w:val="21"/>
                <w:szCs w:val="24"/>
                <w:highlight w:val="none"/>
              </w:rPr>
              <w:t>注</w:t>
            </w:r>
            <w:r>
              <w:rPr>
                <w:rFonts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eq \o\ac(○,1)</w:instrText>
            </w:r>
            <w:r>
              <w:rPr>
                <w:rFonts w:ascii="宋体" w:hAnsi="宋体" w:cs="宋体"/>
                <w:color w:val="auto"/>
                <w:sz w:val="24"/>
                <w:szCs w:val="24"/>
                <w:highlight w:val="none"/>
              </w:rPr>
              <w:fldChar w:fldCharType="end"/>
            </w:r>
            <w:r>
              <w:rPr>
                <w:rFonts w:hint="eastAsia" w:cs="方正仿宋_GBK" w:asciiTheme="minorEastAsia" w:hAnsiTheme="minorEastAsia" w:eastAsiaTheme="minorEastAsia"/>
                <w:color w:val="auto"/>
                <w:sz w:val="21"/>
                <w:szCs w:val="21"/>
                <w:highlight w:val="none"/>
                <w:lang w:eastAsia="zh-CN"/>
              </w:rPr>
              <w:t>）</w:t>
            </w:r>
          </w:p>
        </w:tc>
        <w:tc>
          <w:tcPr>
            <w:tcW w:w="4820" w:type="dxa"/>
            <w:vMerge w:val="continue"/>
            <w:vAlign w:val="center"/>
          </w:tcPr>
          <w:p>
            <w:pPr>
              <w:adjustRightInd w:val="0"/>
              <w:snapToGrid w:val="0"/>
              <w:rPr>
                <w:rFonts w:cs="方正仿宋_GBK"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3969" w:type="dxa"/>
            <w:gridSpan w:val="3"/>
            <w:vAlign w:val="center"/>
          </w:tcPr>
          <w:p>
            <w:pPr>
              <w:adjustRightInd w:val="0"/>
              <w:snapToGrid w:val="0"/>
              <w:rPr>
                <w:rFonts w:hint="eastAsia"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法律、行政法规规定的其他条件</w:t>
            </w:r>
          </w:p>
          <w:p>
            <w:pPr>
              <w:adjustRightInd w:val="0"/>
              <w:snapToGrid w:val="0"/>
              <w:rPr>
                <w:rFonts w:hint="eastAsia" w:cs="方正仿宋_GBK" w:asciiTheme="minorEastAsia" w:hAnsiTheme="minorEastAsia" w:eastAsiaTheme="minorEastAsia"/>
                <w:color w:val="auto"/>
                <w:sz w:val="21"/>
                <w:szCs w:val="21"/>
                <w:highlight w:val="none"/>
              </w:rPr>
            </w:pPr>
          </w:p>
        </w:tc>
        <w:tc>
          <w:tcPr>
            <w:tcW w:w="4820" w:type="dxa"/>
            <w:vAlign w:val="center"/>
          </w:tcPr>
          <w:p>
            <w:pPr>
              <w:tabs>
                <w:tab w:val="left" w:pos="2688"/>
              </w:tabs>
              <w:rPr>
                <w:rFonts w:hint="eastAsia" w:cs="方正仿宋_GBK"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3969" w:type="dxa"/>
            <w:gridSpan w:val="3"/>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特定资格条件</w:t>
            </w:r>
          </w:p>
        </w:tc>
        <w:tc>
          <w:tcPr>
            <w:tcW w:w="4820" w:type="dxa"/>
            <w:vAlign w:val="center"/>
          </w:tcPr>
          <w:p>
            <w:pPr>
              <w:tabs>
                <w:tab w:val="left" w:pos="2688"/>
              </w:tabs>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1"/>
                <w:szCs w:val="21"/>
                <w:highlight w:val="none"/>
              </w:rPr>
              <w:t>现属于重庆市政府采购采购代理机构库内成员。（</w:t>
            </w:r>
            <w:r>
              <w:rPr>
                <w:rFonts w:cs="方正仿宋_GBK" w:asciiTheme="minorEastAsia" w:hAnsiTheme="minorEastAsia" w:eastAsiaTheme="minorEastAsia"/>
                <w:color w:val="auto"/>
                <w:sz w:val="21"/>
                <w:szCs w:val="21"/>
                <w:highlight w:val="none"/>
              </w:rPr>
              <w:t>提供重庆市政府采购网的网络截图并加盖投标单位公章</w:t>
            </w:r>
            <w:r>
              <w:rPr>
                <w:rFonts w:hint="eastAsia" w:cs="方正仿宋_GBK"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3969" w:type="dxa"/>
            <w:gridSpan w:val="3"/>
            <w:vAlign w:val="center"/>
          </w:tcPr>
          <w:p>
            <w:pPr>
              <w:adjustRightInd w:val="0"/>
              <w:snapToGrid w:val="0"/>
              <w:rPr>
                <w:rFonts w:hint="eastAsia" w:cs="方正仿宋_GBK" w:asciiTheme="minorEastAsia" w:hAnsiTheme="minorEastAsia" w:eastAsiaTheme="minorEastAsia"/>
                <w:color w:val="auto"/>
                <w:sz w:val="21"/>
                <w:szCs w:val="21"/>
                <w:highlight w:val="none"/>
                <w:lang w:eastAsia="zh-CN"/>
              </w:rPr>
            </w:pPr>
            <w:r>
              <w:rPr>
                <w:rFonts w:hint="eastAsia" w:cs="方正仿宋_GBK" w:asciiTheme="minorEastAsia" w:hAnsiTheme="minorEastAsia" w:eastAsiaTheme="minorEastAsia"/>
                <w:color w:val="auto"/>
                <w:sz w:val="21"/>
                <w:szCs w:val="21"/>
                <w:highlight w:val="none"/>
                <w:lang w:eastAsia="zh-CN"/>
              </w:rPr>
              <w:t>磋商保证金</w:t>
            </w:r>
          </w:p>
        </w:tc>
        <w:tc>
          <w:tcPr>
            <w:tcW w:w="4820" w:type="dxa"/>
            <w:vAlign w:val="center"/>
          </w:tcPr>
          <w:p>
            <w:pPr>
              <w:tabs>
                <w:tab w:val="left" w:pos="2688"/>
              </w:tabs>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按照</w:t>
            </w:r>
            <w:r>
              <w:rPr>
                <w:rFonts w:hint="eastAsia" w:cs="方正仿宋_GBK" w:asciiTheme="minorEastAsia" w:hAnsiTheme="minorEastAsia" w:eastAsiaTheme="minorEastAsia"/>
                <w:color w:val="auto"/>
                <w:sz w:val="21"/>
                <w:szCs w:val="21"/>
                <w:highlight w:val="none"/>
                <w:lang w:eastAsia="zh-CN"/>
              </w:rPr>
              <w:t>采购文件</w:t>
            </w:r>
            <w:r>
              <w:rPr>
                <w:rFonts w:hint="eastAsia" w:cs="方正仿宋_GBK" w:asciiTheme="minorEastAsia" w:hAnsiTheme="minorEastAsia" w:eastAsiaTheme="minorEastAsia"/>
                <w:color w:val="auto"/>
                <w:sz w:val="21"/>
                <w:szCs w:val="21"/>
                <w:highlight w:val="none"/>
              </w:rPr>
              <w:t>要求足额交纳所投包的</w:t>
            </w:r>
            <w:r>
              <w:rPr>
                <w:rFonts w:hint="eastAsia" w:cs="方正仿宋_GBK" w:asciiTheme="minorEastAsia" w:hAnsiTheme="minorEastAsia" w:eastAsiaTheme="minorEastAsia"/>
                <w:color w:val="auto"/>
                <w:sz w:val="21"/>
                <w:szCs w:val="21"/>
                <w:highlight w:val="none"/>
                <w:lang w:eastAsia="zh-CN"/>
              </w:rPr>
              <w:t>磋商保证金</w:t>
            </w:r>
            <w:r>
              <w:rPr>
                <w:rFonts w:hint="eastAsia" w:cs="方正仿宋_GBK"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51" w:type="dxa"/>
            <w:vMerge w:val="restart"/>
            <w:vAlign w:val="center"/>
          </w:tcPr>
          <w:p>
            <w:pPr>
              <w:adjustRightInd w:val="0"/>
              <w:snapToGrid w:val="0"/>
              <w:jc w:val="center"/>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符合性审查</w:t>
            </w:r>
          </w:p>
        </w:tc>
        <w:tc>
          <w:tcPr>
            <w:tcW w:w="1701" w:type="dxa"/>
            <w:gridSpan w:val="2"/>
            <w:vMerge w:val="restart"/>
            <w:vAlign w:val="center"/>
          </w:tcPr>
          <w:p>
            <w:pPr>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有效性审查</w:t>
            </w:r>
          </w:p>
        </w:tc>
        <w:tc>
          <w:tcPr>
            <w:tcW w:w="2268"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lang w:eastAsia="zh-CN"/>
              </w:rPr>
              <w:t>响应文件</w:t>
            </w:r>
            <w:r>
              <w:rPr>
                <w:rFonts w:hint="eastAsia" w:cs="方正仿宋_GBK" w:asciiTheme="minorEastAsia" w:hAnsiTheme="minorEastAsia" w:eastAsiaTheme="minorEastAsia"/>
                <w:color w:val="auto"/>
                <w:sz w:val="21"/>
                <w:szCs w:val="21"/>
                <w:highlight w:val="none"/>
              </w:rPr>
              <w:t>签署</w:t>
            </w:r>
          </w:p>
        </w:tc>
        <w:tc>
          <w:tcPr>
            <w:tcW w:w="4820"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lang w:eastAsia="zh-CN"/>
              </w:rPr>
              <w:t>响应文件</w:t>
            </w:r>
            <w:r>
              <w:rPr>
                <w:rFonts w:hint="eastAsia" w:cs="方正仿宋_GBK" w:asciiTheme="minorEastAsia" w:hAnsiTheme="minorEastAsia" w:eastAsiaTheme="minorEastAsia"/>
                <w:color w:val="auto"/>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51" w:type="dxa"/>
            <w:vMerge w:val="continue"/>
            <w:vAlign w:val="center"/>
          </w:tcPr>
          <w:p>
            <w:pPr>
              <w:adjustRightInd w:val="0"/>
              <w:snapToGrid w:val="0"/>
              <w:jc w:val="center"/>
              <w:rPr>
                <w:rFonts w:hint="eastAsia" w:cs="方正仿宋_GBK" w:asciiTheme="minorEastAsia" w:hAnsiTheme="minorEastAsia" w:eastAsiaTheme="minorEastAsia"/>
                <w:color w:val="auto"/>
                <w:sz w:val="21"/>
                <w:szCs w:val="21"/>
                <w:highlight w:val="none"/>
              </w:rPr>
            </w:pPr>
          </w:p>
        </w:tc>
        <w:tc>
          <w:tcPr>
            <w:tcW w:w="1701" w:type="dxa"/>
            <w:gridSpan w:val="2"/>
            <w:vMerge w:val="continue"/>
            <w:vAlign w:val="center"/>
          </w:tcPr>
          <w:p>
            <w:pPr>
              <w:rPr>
                <w:rFonts w:hint="eastAsia" w:cs="方正仿宋_GBK" w:asciiTheme="minorEastAsia" w:hAnsiTheme="minorEastAsia" w:eastAsiaTheme="minorEastAsia"/>
                <w:color w:val="auto"/>
                <w:sz w:val="21"/>
                <w:szCs w:val="21"/>
                <w:highlight w:val="none"/>
              </w:rPr>
            </w:pPr>
          </w:p>
        </w:tc>
        <w:tc>
          <w:tcPr>
            <w:tcW w:w="2268" w:type="dxa"/>
            <w:vAlign w:val="center"/>
          </w:tcPr>
          <w:p>
            <w:pPr>
              <w:snapToGrid w:val="0"/>
              <w:textAlignment w:val="baseline"/>
              <w:rPr>
                <w:rFonts w:hint="eastAsia" w:cs="方正仿宋_GBK" w:asciiTheme="minorEastAsia" w:hAnsiTheme="minorEastAsia" w:eastAsiaTheme="minorEastAsia"/>
                <w:color w:val="auto"/>
                <w:sz w:val="21"/>
                <w:szCs w:val="21"/>
                <w:highlight w:val="none"/>
                <w:lang w:eastAsia="zh-CN"/>
              </w:rPr>
            </w:pPr>
            <w:r>
              <w:rPr>
                <w:rFonts w:hint="eastAsia" w:ascii="宋体" w:hAnsi="宋体" w:cs="宋体"/>
                <w:color w:val="auto"/>
                <w:kern w:val="0"/>
                <w:sz w:val="21"/>
                <w:szCs w:val="24"/>
                <w:highlight w:val="none"/>
              </w:rPr>
              <w:t>法定代表人身份证明及授权委托书</w:t>
            </w:r>
          </w:p>
        </w:tc>
        <w:tc>
          <w:tcPr>
            <w:tcW w:w="4820" w:type="dxa"/>
            <w:vAlign w:val="center"/>
          </w:tcPr>
          <w:p>
            <w:pPr>
              <w:snapToGrid w:val="0"/>
              <w:textAlignment w:val="baseline"/>
              <w:rPr>
                <w:rFonts w:hint="eastAsia" w:cs="方正仿宋_GBK" w:asciiTheme="minorEastAsia" w:hAnsiTheme="minorEastAsia" w:eastAsiaTheme="minorEastAsia"/>
                <w:color w:val="auto"/>
                <w:sz w:val="21"/>
                <w:szCs w:val="21"/>
                <w:highlight w:val="none"/>
                <w:lang w:eastAsia="zh-CN"/>
              </w:rPr>
            </w:pPr>
            <w:r>
              <w:rPr>
                <w:rFonts w:hint="eastAsia" w:cs="方正仿宋_GBK" w:asciiTheme="minorEastAsia" w:hAnsiTheme="minorEastAsia" w:eastAsiaTheme="minorEastAsia"/>
                <w:color w:val="auto"/>
                <w:sz w:val="21"/>
                <w:szCs w:val="21"/>
                <w:highlight w:val="none"/>
                <w:lang w:eastAsia="zh-CN"/>
              </w:rPr>
              <w:t>法定代表人身份证明及授权委托书有效，符合</w:t>
            </w:r>
            <w:r>
              <w:rPr>
                <w:rFonts w:hint="eastAsia" w:cs="方正仿宋_GBK" w:asciiTheme="minorEastAsia" w:hAnsiTheme="minorEastAsia" w:eastAsiaTheme="minorEastAsia"/>
                <w:color w:val="auto"/>
                <w:sz w:val="21"/>
                <w:szCs w:val="21"/>
                <w:highlight w:val="none"/>
                <w:lang w:val="en-US" w:eastAsia="zh-CN"/>
              </w:rPr>
              <w:t>采购</w:t>
            </w:r>
            <w:r>
              <w:rPr>
                <w:rFonts w:hint="eastAsia" w:cs="方正仿宋_GBK" w:asciiTheme="minorEastAsia" w:hAnsiTheme="minorEastAsia" w:eastAsiaTheme="minorEastAsia"/>
                <w:color w:val="auto"/>
                <w:sz w:val="21"/>
                <w:szCs w:val="21"/>
                <w:highlight w:val="none"/>
                <w:lang w:eastAsia="zh-CN"/>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1701" w:type="dxa"/>
            <w:gridSpan w:val="2"/>
            <w:vMerge w:val="continue"/>
            <w:vAlign w:val="center"/>
          </w:tcPr>
          <w:p>
            <w:pPr>
              <w:rPr>
                <w:rFonts w:cs="方正仿宋_GBK" w:asciiTheme="minorEastAsia" w:hAnsiTheme="minorEastAsia" w:eastAsiaTheme="minorEastAsia"/>
                <w:color w:val="auto"/>
                <w:sz w:val="21"/>
                <w:szCs w:val="21"/>
                <w:highlight w:val="none"/>
              </w:rPr>
            </w:pPr>
          </w:p>
        </w:tc>
        <w:tc>
          <w:tcPr>
            <w:tcW w:w="2268" w:type="dxa"/>
            <w:vAlign w:val="center"/>
          </w:tcPr>
          <w:p>
            <w:pPr>
              <w:adjustRightInd w:val="0"/>
              <w:snapToGrid w:val="0"/>
              <w:rPr>
                <w:rFonts w:cs="方正仿宋_GBK" w:asciiTheme="minorEastAsia" w:hAnsiTheme="minorEastAsia" w:eastAsiaTheme="minorEastAsia"/>
                <w:color w:val="auto"/>
                <w:sz w:val="21"/>
                <w:szCs w:val="21"/>
                <w:highlight w:val="none"/>
                <w:lang w:val="zh-CN"/>
              </w:rPr>
            </w:pPr>
            <w:r>
              <w:rPr>
                <w:rFonts w:hint="eastAsia" w:cs="方正仿宋_GBK" w:asciiTheme="minorEastAsia" w:hAnsiTheme="minorEastAsia" w:eastAsiaTheme="minorEastAsia"/>
                <w:color w:val="auto"/>
                <w:sz w:val="21"/>
                <w:szCs w:val="21"/>
                <w:highlight w:val="none"/>
                <w:lang w:val="en-US" w:eastAsia="zh-CN"/>
              </w:rPr>
              <w:t>响应</w:t>
            </w:r>
            <w:r>
              <w:rPr>
                <w:rFonts w:hint="eastAsia" w:cs="方正仿宋_GBK" w:asciiTheme="minorEastAsia" w:hAnsiTheme="minorEastAsia" w:eastAsiaTheme="minorEastAsia"/>
                <w:color w:val="auto"/>
                <w:sz w:val="21"/>
                <w:szCs w:val="21"/>
                <w:highlight w:val="none"/>
                <w:lang w:val="zh-CN"/>
              </w:rPr>
              <w:t>方案</w:t>
            </w:r>
          </w:p>
        </w:tc>
        <w:tc>
          <w:tcPr>
            <w:tcW w:w="4820"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lang w:val="zh-CN"/>
              </w:rPr>
              <w:t>每个包只能有一个</w:t>
            </w:r>
            <w:r>
              <w:rPr>
                <w:rFonts w:hint="eastAsia" w:cs="方正仿宋_GBK" w:asciiTheme="minorEastAsia" w:hAnsiTheme="minorEastAsia" w:eastAsiaTheme="minorEastAsia"/>
                <w:color w:val="auto"/>
                <w:sz w:val="21"/>
                <w:szCs w:val="21"/>
                <w:highlight w:val="none"/>
                <w:lang w:val="en-US" w:eastAsia="zh-CN"/>
              </w:rPr>
              <w:t>响应方案</w:t>
            </w:r>
            <w:r>
              <w:rPr>
                <w:rFonts w:hint="eastAsia" w:cs="方正仿宋_GBK" w:asciiTheme="minorEastAsia" w:hAnsiTheme="minorEastAsia" w:eastAsiaTheme="minorEastAsia"/>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1701" w:type="dxa"/>
            <w:gridSpan w:val="2"/>
            <w:vMerge w:val="continue"/>
            <w:vAlign w:val="center"/>
          </w:tcPr>
          <w:p>
            <w:pPr>
              <w:rPr>
                <w:rFonts w:cs="方正仿宋_GBK" w:asciiTheme="minorEastAsia" w:hAnsiTheme="minorEastAsia" w:eastAsiaTheme="minorEastAsia"/>
                <w:color w:val="auto"/>
                <w:sz w:val="21"/>
                <w:szCs w:val="21"/>
                <w:highlight w:val="none"/>
              </w:rPr>
            </w:pPr>
          </w:p>
        </w:tc>
        <w:tc>
          <w:tcPr>
            <w:tcW w:w="2268" w:type="dxa"/>
            <w:vAlign w:val="center"/>
          </w:tcPr>
          <w:p>
            <w:pPr>
              <w:adjustRightInd w:val="0"/>
              <w:snapToGrid w:val="0"/>
              <w:rPr>
                <w:rFonts w:cs="方正仿宋_GBK" w:asciiTheme="minorEastAsia" w:hAnsiTheme="minorEastAsia" w:eastAsiaTheme="minorEastAsia"/>
                <w:color w:val="auto"/>
                <w:sz w:val="21"/>
                <w:szCs w:val="21"/>
                <w:highlight w:val="none"/>
                <w:lang w:val="zh-CN"/>
              </w:rPr>
            </w:pPr>
            <w:r>
              <w:rPr>
                <w:rFonts w:hint="eastAsia" w:cs="方正仿宋_GBK" w:asciiTheme="minorEastAsia" w:hAnsiTheme="minorEastAsia" w:eastAsiaTheme="minorEastAsia"/>
                <w:color w:val="auto"/>
                <w:sz w:val="21"/>
                <w:szCs w:val="21"/>
                <w:highlight w:val="none"/>
              </w:rPr>
              <w:t>报价唯一</w:t>
            </w:r>
          </w:p>
        </w:tc>
        <w:tc>
          <w:tcPr>
            <w:tcW w:w="4820"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lang w:val="zh-CN"/>
              </w:rPr>
              <w:t>只能在</w:t>
            </w:r>
            <w:r>
              <w:rPr>
                <w:rFonts w:hint="eastAsia" w:cs="方正仿宋_GBK" w:asciiTheme="minorEastAsia" w:hAnsiTheme="minorEastAsia" w:eastAsiaTheme="minorEastAsia"/>
                <w:color w:val="auto"/>
                <w:sz w:val="21"/>
                <w:szCs w:val="21"/>
                <w:highlight w:val="none"/>
              </w:rPr>
              <w:t>本</w:t>
            </w:r>
            <w:r>
              <w:rPr>
                <w:rFonts w:hint="eastAsia" w:cs="方正仿宋_GBK" w:asciiTheme="minorEastAsia" w:hAnsiTheme="minorEastAsia" w:eastAsiaTheme="minorEastAsia"/>
                <w:color w:val="auto"/>
                <w:sz w:val="21"/>
                <w:szCs w:val="21"/>
                <w:highlight w:val="none"/>
                <w:lang w:eastAsia="zh-CN"/>
              </w:rPr>
              <w:t>采购文件</w:t>
            </w:r>
            <w:r>
              <w:rPr>
                <w:rFonts w:hint="eastAsia" w:cs="方正仿宋_GBK" w:asciiTheme="minorEastAsia" w:hAnsiTheme="minorEastAsia" w:eastAsiaTheme="minorEastAsia"/>
                <w:color w:val="auto"/>
                <w:sz w:val="21"/>
                <w:szCs w:val="21"/>
                <w:highlight w:val="none"/>
              </w:rPr>
              <w:t>设定的区间范围</w:t>
            </w:r>
            <w:r>
              <w:rPr>
                <w:rFonts w:hint="eastAsia" w:cs="方正仿宋_GBK" w:asciiTheme="minorEastAsia" w:hAnsiTheme="minorEastAsia" w:eastAsiaTheme="minorEastAsia"/>
                <w:color w:val="auto"/>
                <w:sz w:val="21"/>
                <w:szCs w:val="21"/>
                <w:highlight w:val="none"/>
                <w:lang w:val="zh-CN"/>
              </w:rPr>
              <w:t>内报价，</w:t>
            </w:r>
            <w:r>
              <w:rPr>
                <w:rFonts w:hint="eastAsia" w:cs="方正仿宋_GBK" w:asciiTheme="minorEastAsia" w:hAnsiTheme="minorEastAsia" w:eastAsiaTheme="minorEastAsia"/>
                <w:color w:val="auto"/>
                <w:sz w:val="21"/>
                <w:szCs w:val="21"/>
                <w:highlight w:val="none"/>
              </w:rPr>
              <w:t>只能有一个有效报价，不得提交选择性报价，并提供第二部分“七、采购代理服务费的收取标准”要求的承诺函。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1701" w:type="dxa"/>
            <w:gridSpan w:val="2"/>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完整性审查</w:t>
            </w:r>
          </w:p>
        </w:tc>
        <w:tc>
          <w:tcPr>
            <w:tcW w:w="2268" w:type="dxa"/>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lang w:eastAsia="zh-CN"/>
              </w:rPr>
              <w:t>响应文件</w:t>
            </w:r>
            <w:r>
              <w:rPr>
                <w:rFonts w:hint="eastAsia" w:cs="方正仿宋_GBK" w:asciiTheme="minorEastAsia" w:hAnsiTheme="minorEastAsia" w:eastAsiaTheme="minorEastAsia"/>
                <w:color w:val="auto"/>
                <w:sz w:val="21"/>
                <w:szCs w:val="21"/>
                <w:highlight w:val="none"/>
              </w:rPr>
              <w:t>份数</w:t>
            </w:r>
          </w:p>
        </w:tc>
        <w:tc>
          <w:tcPr>
            <w:tcW w:w="4820" w:type="dxa"/>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lang w:val="zh-CN"/>
              </w:rPr>
              <w:t>响应文件正、副本数量（含电子文档）符合采购文件要求。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1701" w:type="dxa"/>
            <w:gridSpan w:val="2"/>
            <w:vMerge w:val="restart"/>
            <w:vAlign w:val="center"/>
          </w:tcPr>
          <w:p>
            <w:pPr>
              <w:adjustRightInd w:val="0"/>
              <w:snapToGrid w:val="0"/>
              <w:jc w:val="left"/>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响应程度审查</w:t>
            </w:r>
          </w:p>
        </w:tc>
        <w:tc>
          <w:tcPr>
            <w:tcW w:w="2268"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lang w:eastAsia="zh-CN"/>
              </w:rPr>
              <w:t>响应文件</w:t>
            </w:r>
            <w:r>
              <w:rPr>
                <w:rFonts w:hint="eastAsia" w:cs="方正仿宋_GBK" w:asciiTheme="minorEastAsia" w:hAnsiTheme="minorEastAsia" w:eastAsiaTheme="minorEastAsia"/>
                <w:color w:val="auto"/>
                <w:sz w:val="21"/>
                <w:szCs w:val="21"/>
                <w:highlight w:val="none"/>
              </w:rPr>
              <w:t>内容</w:t>
            </w:r>
          </w:p>
        </w:tc>
        <w:tc>
          <w:tcPr>
            <w:tcW w:w="4820"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对</w:t>
            </w:r>
            <w:r>
              <w:rPr>
                <w:rFonts w:hint="eastAsia" w:cs="方正仿宋_GBK" w:asciiTheme="minorEastAsia" w:hAnsiTheme="minorEastAsia" w:eastAsiaTheme="minorEastAsia"/>
                <w:color w:val="auto"/>
                <w:sz w:val="21"/>
                <w:szCs w:val="21"/>
                <w:highlight w:val="none"/>
                <w:lang w:eastAsia="zh-CN"/>
              </w:rPr>
              <w:t>采购文件</w:t>
            </w:r>
            <w:r>
              <w:rPr>
                <w:rFonts w:hint="eastAsia" w:cs="方正仿宋_GBK" w:asciiTheme="minorEastAsia" w:hAnsiTheme="minorEastAsia" w:eastAsiaTheme="minorEastAsia"/>
                <w:color w:val="auto"/>
                <w:sz w:val="21"/>
                <w:szCs w:val="21"/>
                <w:highlight w:val="none"/>
              </w:rPr>
              <w:t>“</w:t>
            </w:r>
            <w:r>
              <w:rPr>
                <w:rFonts w:hint="eastAsia" w:cs="方正仿宋_GBK" w:asciiTheme="minorEastAsia" w:hAnsiTheme="minorEastAsia" w:eastAsiaTheme="minorEastAsia"/>
                <w:color w:val="auto"/>
                <w:sz w:val="21"/>
                <w:szCs w:val="21"/>
                <w:highlight w:val="none"/>
                <w:lang w:val="zh-CN"/>
              </w:rPr>
              <w:t>第二部分项目</w:t>
            </w:r>
            <w:r>
              <w:rPr>
                <w:rFonts w:hint="eastAsia" w:cs="方正仿宋_GBK" w:asciiTheme="minorEastAsia" w:hAnsiTheme="minorEastAsia" w:eastAsiaTheme="minorEastAsia"/>
                <w:color w:val="auto"/>
                <w:sz w:val="21"/>
                <w:szCs w:val="21"/>
                <w:highlight w:val="none"/>
              </w:rPr>
              <w:t>技术</w:t>
            </w:r>
            <w:r>
              <w:rPr>
                <w:rFonts w:hint="eastAsia" w:cs="方正仿宋_GBK" w:asciiTheme="minorEastAsia" w:hAnsiTheme="minorEastAsia" w:eastAsiaTheme="minorEastAsia"/>
                <w:color w:val="auto"/>
                <w:sz w:val="21"/>
                <w:szCs w:val="21"/>
                <w:highlight w:val="none"/>
                <w:lang w:val="zh-CN"/>
              </w:rPr>
              <w:t>及商务要求</w:t>
            </w:r>
            <w:r>
              <w:rPr>
                <w:rFonts w:hint="eastAsia" w:cs="方正仿宋_GBK" w:asciiTheme="minorEastAsia" w:hAnsiTheme="minorEastAsia" w:eastAsiaTheme="minorEastAsia"/>
                <w:color w:val="auto"/>
                <w:sz w:val="21"/>
                <w:szCs w:val="21"/>
                <w:highlight w:val="none"/>
              </w:rPr>
              <w:t>”内容作出响应，内容齐全，无遗漏。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851" w:type="dxa"/>
            <w:vMerge w:val="continue"/>
            <w:vAlign w:val="center"/>
          </w:tcPr>
          <w:p>
            <w:pPr>
              <w:adjustRightInd w:val="0"/>
              <w:snapToGrid w:val="0"/>
              <w:jc w:val="center"/>
              <w:rPr>
                <w:rFonts w:cs="方正仿宋_GBK" w:asciiTheme="minorEastAsia" w:hAnsiTheme="minorEastAsia" w:eastAsiaTheme="minorEastAsia"/>
                <w:color w:val="auto"/>
                <w:sz w:val="21"/>
                <w:szCs w:val="21"/>
                <w:highlight w:val="none"/>
              </w:rPr>
            </w:pPr>
          </w:p>
        </w:tc>
        <w:tc>
          <w:tcPr>
            <w:tcW w:w="1701" w:type="dxa"/>
            <w:gridSpan w:val="2"/>
            <w:vMerge w:val="continue"/>
            <w:vAlign w:val="center"/>
          </w:tcPr>
          <w:p>
            <w:pPr>
              <w:adjustRightInd w:val="0"/>
              <w:snapToGrid w:val="0"/>
              <w:jc w:val="left"/>
              <w:rPr>
                <w:rFonts w:cs="方正仿宋_GBK" w:asciiTheme="minorEastAsia" w:hAnsiTheme="minorEastAsia" w:eastAsiaTheme="minorEastAsia"/>
                <w:color w:val="auto"/>
                <w:sz w:val="21"/>
                <w:szCs w:val="21"/>
                <w:highlight w:val="none"/>
              </w:rPr>
            </w:pPr>
          </w:p>
        </w:tc>
        <w:tc>
          <w:tcPr>
            <w:tcW w:w="2268"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投标有效期</w:t>
            </w:r>
          </w:p>
        </w:tc>
        <w:tc>
          <w:tcPr>
            <w:tcW w:w="4820" w:type="dxa"/>
            <w:vAlign w:val="center"/>
          </w:tcPr>
          <w:p>
            <w:pPr>
              <w:adjustRightInd w:val="0"/>
              <w:snapToGrid w:val="0"/>
              <w:rPr>
                <w:rFonts w:cs="方正仿宋_GBK" w:asciiTheme="minorEastAsia" w:hAnsiTheme="minorEastAsia" w:eastAsiaTheme="minorEastAsia"/>
                <w:color w:val="auto"/>
                <w:sz w:val="21"/>
                <w:szCs w:val="21"/>
                <w:highlight w:val="none"/>
              </w:rPr>
            </w:pPr>
            <w:r>
              <w:rPr>
                <w:rFonts w:hint="eastAsia" w:ascii="宋体" w:hAnsi="宋体" w:cs="宋体"/>
                <w:color w:val="auto"/>
                <w:kern w:val="0"/>
                <w:sz w:val="21"/>
                <w:szCs w:val="24"/>
                <w:highlight w:val="none"/>
              </w:rPr>
              <w:t>响应文件及有关承诺文件有效期为提交响应文件截止时间起90天。</w:t>
            </w:r>
          </w:p>
        </w:tc>
      </w:tr>
    </w:tbl>
    <w:p>
      <w:pPr>
        <w:pStyle w:val="3"/>
        <w:rPr>
          <w:color w:val="auto"/>
          <w:highlight w:val="none"/>
        </w:rPr>
      </w:pPr>
    </w:p>
    <w:bookmarkEnd w:id="25"/>
    <w:bookmarkEnd w:id="26"/>
    <w:p>
      <w:pPr>
        <w:spacing w:line="520" w:lineRule="exact"/>
        <w:ind w:firstLine="414" w:firstLineChars="148"/>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注：</w:t>
      </w:r>
      <w:bookmarkStart w:id="27" w:name="_Hlk6168543"/>
      <w:r>
        <w:rPr>
          <w:rFonts w:hint="eastAsia" w:cs="方正仿宋_GBK" w:asciiTheme="minorEastAsia" w:hAnsiTheme="minorEastAsia" w:eastAsiaTheme="minorEastAsia"/>
          <w:color w:val="auto"/>
          <w:sz w:val="28"/>
          <w:szCs w:val="28"/>
          <w:highlight w:val="none"/>
        </w:rPr>
        <w:t>①</w:t>
      </w:r>
      <w:bookmarkEnd w:id="27"/>
      <w:r>
        <w:rPr>
          <w:rFonts w:hint="eastAsia" w:cs="方正仿宋_GBK" w:asciiTheme="minorEastAsia" w:hAnsiTheme="minorEastAsia" w:eastAsiaTheme="minorEastAsia"/>
          <w:color w:val="auto"/>
          <w:sz w:val="28"/>
          <w:szCs w:val="28"/>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pPr>
        <w:spacing w:line="520" w:lineRule="exact"/>
        <w:ind w:firstLine="416" w:firstLineChars="148"/>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
          <w:color w:val="auto"/>
          <w:sz w:val="28"/>
          <w:szCs w:val="28"/>
          <w:highlight w:val="none"/>
        </w:rPr>
        <w:t>（3）</w:t>
      </w:r>
      <w:r>
        <w:rPr>
          <w:rFonts w:hint="eastAsia" w:cs="方正仿宋_GBK" w:asciiTheme="minorEastAsia" w:hAnsiTheme="minorEastAsia" w:eastAsiaTheme="minorEastAsia"/>
          <w:color w:val="auto"/>
          <w:sz w:val="28"/>
          <w:szCs w:val="28"/>
          <w:highlight w:val="none"/>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下列内容不得澄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①</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中不响应</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规定的技术参数指标和商务应答；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4"/>
          <w:szCs w:val="24"/>
          <w:highlight w:val="none"/>
        </w:rPr>
      </w:pPr>
      <w:r>
        <w:rPr>
          <w:rFonts w:hint="eastAsia" w:cs="方正仿宋_GBK" w:asciiTheme="minorEastAsia" w:hAnsiTheme="minorEastAsia" w:eastAsiaTheme="minorEastAsia"/>
          <w:color w:val="auto"/>
          <w:sz w:val="28"/>
          <w:szCs w:val="28"/>
          <w:highlight w:val="none"/>
        </w:rPr>
        <w:t>②</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中未提供的证明其是否符合</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资格性、符合性规定要求的相关材料。</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cs="方正仿宋_GBK" w:asciiTheme="minorEastAsia" w:hAnsiTheme="minorEastAsia" w:eastAsiaTheme="minorEastAsia"/>
          <w:color w:val="auto"/>
          <w:sz w:val="28"/>
          <w:szCs w:val="28"/>
          <w:highlight w:val="none"/>
          <w:lang w:eastAsia="zh-CN"/>
        </w:rPr>
      </w:pPr>
      <w:r>
        <w:rPr>
          <w:rFonts w:hint="eastAsia" w:cs="方正仿宋_GBK" w:asciiTheme="minorEastAsia" w:hAnsiTheme="minorEastAsia" w:eastAsiaTheme="minorEastAsia"/>
          <w:color w:val="auto"/>
          <w:sz w:val="28"/>
          <w:szCs w:val="28"/>
          <w:highlight w:val="none"/>
        </w:rPr>
        <w:t>磋商小组要求供应商澄清、说明或者更正响应文件应当以书面形式作出。</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的澄清、说明或者更正应当由法定代表人（或其授权代表）签字或者加盖公章。由授权代表签字的，应当附法定代表人授权书。</w:t>
      </w:r>
      <w:r>
        <w:rPr>
          <w:rFonts w:hint="eastAsia" w:cs="方正仿宋_GBK" w:asciiTheme="minorEastAsia" w:hAnsiTheme="minorEastAsia" w:eastAsiaTheme="minorEastAsia"/>
          <w:color w:val="auto"/>
          <w:sz w:val="28"/>
          <w:szCs w:val="28"/>
          <w:highlight w:val="none"/>
          <w:lang w:val="en-US" w:eastAsia="zh-CN"/>
        </w:rPr>
        <w:t xml:space="preserve"> </w:t>
      </w:r>
      <w:r>
        <w:rPr>
          <w:rFonts w:hint="eastAsia" w:cs="方正仿宋_GBK" w:asciiTheme="minorEastAsia" w:hAnsiTheme="minorEastAsia" w:eastAsiaTheme="minorEastAsia"/>
          <w:color w:val="auto"/>
          <w:sz w:val="28"/>
          <w:szCs w:val="28"/>
          <w:highlight w:val="none"/>
        </w:rPr>
        <w:t>有效的澄清材料，是</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的组成部分；澄清不影响</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的效力</w:t>
      </w:r>
      <w:r>
        <w:rPr>
          <w:rFonts w:hint="eastAsia" w:cs="方正仿宋_GBK" w:asciiTheme="minorEastAsia" w:hAnsiTheme="minorEastAsia" w:eastAsiaTheme="minorEastAsia"/>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rPr>
        <w:t>在磋商过程中磋商的任何一方不得向他人透露与磋商有关的服务资料、价格或其他信息。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6</w:t>
      </w:r>
      <w:r>
        <w:rPr>
          <w:rFonts w:hint="eastAsia" w:cs="方正仿宋_GBK" w:asciiTheme="minorEastAsia" w:hAnsiTheme="minorEastAsia" w:eastAsiaTheme="minorEastAsia"/>
          <w:color w:val="auto"/>
          <w:sz w:val="28"/>
          <w:szCs w:val="28"/>
          <w:highlight w:val="none"/>
        </w:rPr>
        <w:t>）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7</w:t>
      </w: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在磋商时作出的所有书面承诺须由法定代表人（或其授权代表）签字。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8</w:t>
      </w:r>
      <w:r>
        <w:rPr>
          <w:rFonts w:hint="eastAsia" w:cs="方正仿宋_GBK" w:asciiTheme="minorEastAsia" w:hAnsiTheme="minorEastAsia" w:eastAsiaTheme="minorEastAsia"/>
          <w:color w:val="auto"/>
          <w:sz w:val="28"/>
          <w:szCs w:val="28"/>
          <w:highlight w:val="none"/>
        </w:rPr>
        <w:t>）经磋商确定最终采购需求且磋商结束后，</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应当按照竞争性磋商文件的变动情况和磋商小组的要求重新提交响应文件或重新做出相关的书面承诺，最后书面提交最后报价及有关承诺（《最后报价表》在磋商现场向</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提供）。已提交响应文件但未在规定时间内进行最后报价的</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，视为放弃最后报价，以</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响应文件中的报价为准。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w:t>
      </w:r>
      <w:r>
        <w:rPr>
          <w:rFonts w:hint="eastAsia" w:cs="方正仿宋_GBK" w:asciiTheme="minorEastAsia" w:hAnsiTheme="minorEastAsia" w:eastAsiaTheme="minorEastAsia"/>
          <w:color w:val="auto"/>
          <w:sz w:val="28"/>
          <w:szCs w:val="28"/>
          <w:highlight w:val="none"/>
          <w:lang w:val="en-US" w:eastAsia="zh-CN"/>
        </w:rPr>
        <w:t>9</w:t>
      </w:r>
      <w:r>
        <w:rPr>
          <w:rFonts w:hint="eastAsia" w:cs="方正仿宋_GBK" w:asciiTheme="minorEastAsia" w:hAnsiTheme="minorEastAsia" w:eastAsiaTheme="minorEastAsia"/>
          <w:color w:val="auto"/>
          <w:sz w:val="28"/>
          <w:szCs w:val="28"/>
          <w:highlight w:val="none"/>
        </w:rPr>
        <w:t>）磋商小组采用综合评分法对提交最后报价的</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的响应文件和最后报价（含有效书面承诺）进行综合评分。</w:t>
      </w:r>
      <w:r>
        <w:rPr>
          <w:rFonts w:hint="eastAsia" w:cs="方正仿宋_GBK" w:asciiTheme="minorEastAsia" w:hAnsiTheme="minorEastAsia" w:eastAsiaTheme="minorEastAsia"/>
          <w:color w:val="auto"/>
          <w:sz w:val="28"/>
          <w:szCs w:val="28"/>
          <w:highlight w:val="none"/>
          <w:lang w:val="en-US" w:eastAsia="zh-CN"/>
        </w:rPr>
        <w:t>投标人</w:t>
      </w:r>
      <w:r>
        <w:rPr>
          <w:rFonts w:hint="eastAsia" w:cs="方正仿宋_GBK" w:asciiTheme="minorEastAsia" w:hAnsiTheme="minorEastAsia" w:eastAsiaTheme="minorEastAsia"/>
          <w:color w:val="auto"/>
          <w:sz w:val="28"/>
          <w:szCs w:val="28"/>
          <w:highlight w:val="none"/>
        </w:rPr>
        <w:t>总得分为价格、</w:t>
      </w:r>
      <w:r>
        <w:rPr>
          <w:rFonts w:hint="eastAsia" w:cs="方正仿宋_GBK" w:asciiTheme="minorEastAsia" w:hAnsiTheme="minorEastAsia" w:eastAsiaTheme="minorEastAsia"/>
          <w:color w:val="auto"/>
          <w:sz w:val="28"/>
          <w:szCs w:val="28"/>
          <w:highlight w:val="none"/>
          <w:lang w:val="en-US" w:eastAsia="zh-CN"/>
        </w:rPr>
        <w:t>技术</w:t>
      </w:r>
      <w:r>
        <w:rPr>
          <w:rFonts w:hint="eastAsia" w:cs="方正仿宋_GBK" w:asciiTheme="minorEastAsia" w:hAnsiTheme="minorEastAsia" w:eastAsiaTheme="minorEastAsia"/>
          <w:color w:val="auto"/>
          <w:sz w:val="28"/>
          <w:szCs w:val="28"/>
          <w:highlight w:val="none"/>
        </w:rPr>
        <w:t>、商务等评定因素分别按照相应权重值计算分项得分后相加，满分为100分。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10）磋商小组各成员独立对每个有效响应（通过资格性审查、符合性审查的投标人）的文件进行评价、打分，然后汇总每个投标人每项评分因素的得分，并根据综合评分情况按照评审得分由高到低顺序推荐总得分70分及以上的投标人作为中标候选人，并编写评审报告。具体评分标准见下表：</w:t>
      </w:r>
    </w:p>
    <w:p>
      <w:pPr>
        <w:spacing w:line="520" w:lineRule="exact"/>
        <w:rPr>
          <w:rFonts w:hint="eastAsia" w:ascii="宋体" w:hAnsi="宋体" w:cs="方正仿宋_GBK"/>
          <w:b/>
          <w:color w:val="auto"/>
          <w:sz w:val="28"/>
          <w:szCs w:val="28"/>
          <w:highlight w:val="none"/>
        </w:rPr>
      </w:pPr>
      <w:r>
        <w:rPr>
          <w:rFonts w:hint="eastAsia" w:ascii="宋体" w:hAnsi="宋体" w:cs="方正仿宋_GBK"/>
          <w:b/>
          <w:color w:val="auto"/>
          <w:sz w:val="28"/>
          <w:szCs w:val="28"/>
          <w:highlight w:val="none"/>
        </w:rPr>
        <w:t>评分标准：</w:t>
      </w:r>
    </w:p>
    <w:p>
      <w:pPr>
        <w:pStyle w:val="18"/>
        <w:jc w:val="left"/>
        <w:rPr>
          <w:rFonts w:hint="eastAsia" w:eastAsia="宋体"/>
          <w:color w:val="auto"/>
          <w:highlight w:val="none"/>
          <w:lang w:val="en-US" w:eastAsia="zh-CN"/>
        </w:rPr>
      </w:pPr>
      <w:r>
        <w:rPr>
          <w:rFonts w:hint="eastAsia" w:ascii="宋体" w:hAnsi="宋体" w:cs="方正仿宋_GBK"/>
          <w:b/>
          <w:color w:val="auto"/>
          <w:sz w:val="28"/>
          <w:szCs w:val="28"/>
          <w:highlight w:val="none"/>
          <w:lang w:val="en-US" w:eastAsia="zh-CN"/>
        </w:rPr>
        <w:t>分包一：</w:t>
      </w:r>
    </w:p>
    <w:tbl>
      <w:tblPr>
        <w:tblStyle w:val="21"/>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51"/>
        <w:gridCol w:w="851"/>
        <w:gridCol w:w="1171"/>
        <w:gridCol w:w="3827"/>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adjustRightInd w:val="0"/>
              <w:snapToGrid w:val="0"/>
              <w:ind w:firstLine="28"/>
              <w:jc w:val="center"/>
              <w:rPr>
                <w:rFonts w:ascii="宋体" w:hAnsi="宋体" w:cs="方正仿宋_GBK"/>
                <w:b/>
                <w:color w:val="auto"/>
                <w:highlight w:val="none"/>
              </w:rPr>
            </w:pPr>
            <w:r>
              <w:rPr>
                <w:rFonts w:hint="eastAsia" w:ascii="宋体" w:hAnsi="宋体" w:cs="方正仿宋_GBK"/>
                <w:b/>
                <w:color w:val="auto"/>
                <w:highlight w:val="none"/>
              </w:rPr>
              <w:t>序号</w:t>
            </w:r>
          </w:p>
        </w:tc>
        <w:tc>
          <w:tcPr>
            <w:tcW w:w="851" w:type="dxa"/>
            <w:vAlign w:val="center"/>
          </w:tcPr>
          <w:p>
            <w:pPr>
              <w:adjustRightInd w:val="0"/>
              <w:snapToGrid w:val="0"/>
              <w:ind w:firstLine="28"/>
              <w:jc w:val="center"/>
              <w:rPr>
                <w:rFonts w:ascii="宋体" w:hAnsi="宋体" w:cs="方正仿宋_GBK"/>
                <w:b/>
                <w:color w:val="auto"/>
                <w:highlight w:val="none"/>
              </w:rPr>
            </w:pPr>
            <w:r>
              <w:rPr>
                <w:rFonts w:hint="eastAsia" w:ascii="宋体" w:hAnsi="宋体" w:cs="方正仿宋_GBK"/>
                <w:b/>
                <w:color w:val="auto"/>
                <w:highlight w:val="none"/>
              </w:rPr>
              <w:t>评审</w:t>
            </w:r>
          </w:p>
          <w:p>
            <w:pPr>
              <w:adjustRightInd w:val="0"/>
              <w:snapToGrid w:val="0"/>
              <w:ind w:firstLine="28"/>
              <w:jc w:val="center"/>
              <w:rPr>
                <w:rFonts w:ascii="宋体" w:hAnsi="宋体" w:cs="方正仿宋_GBK"/>
                <w:b/>
                <w:color w:val="auto"/>
                <w:highlight w:val="none"/>
              </w:rPr>
            </w:pPr>
            <w:r>
              <w:rPr>
                <w:rFonts w:hint="eastAsia" w:ascii="宋体" w:hAnsi="宋体" w:cs="方正仿宋_GBK"/>
                <w:b/>
                <w:color w:val="auto"/>
                <w:highlight w:val="none"/>
              </w:rPr>
              <w:t>项目</w:t>
            </w:r>
          </w:p>
        </w:tc>
        <w:tc>
          <w:tcPr>
            <w:tcW w:w="851" w:type="dxa"/>
            <w:vAlign w:val="center"/>
          </w:tcPr>
          <w:p>
            <w:pPr>
              <w:adjustRightInd w:val="0"/>
              <w:snapToGrid w:val="0"/>
              <w:jc w:val="center"/>
              <w:rPr>
                <w:rFonts w:ascii="宋体" w:hAnsi="宋体" w:cs="方正仿宋_GBK"/>
                <w:b/>
                <w:color w:val="auto"/>
                <w:highlight w:val="none"/>
              </w:rPr>
            </w:pPr>
            <w:r>
              <w:rPr>
                <w:rFonts w:hint="eastAsia" w:ascii="宋体" w:hAnsi="宋体" w:cs="方正仿宋_GBK"/>
                <w:b/>
                <w:color w:val="auto"/>
                <w:highlight w:val="none"/>
              </w:rPr>
              <w:t>评分因素</w:t>
            </w:r>
          </w:p>
        </w:tc>
        <w:tc>
          <w:tcPr>
            <w:tcW w:w="1171" w:type="dxa"/>
            <w:vAlign w:val="center"/>
          </w:tcPr>
          <w:p>
            <w:pPr>
              <w:adjustRightInd w:val="0"/>
              <w:snapToGrid w:val="0"/>
              <w:jc w:val="center"/>
              <w:rPr>
                <w:rFonts w:ascii="宋体" w:hAnsi="宋体" w:cs="方正仿宋_GBK"/>
                <w:b/>
                <w:color w:val="auto"/>
                <w:highlight w:val="none"/>
              </w:rPr>
            </w:pPr>
            <w:r>
              <w:rPr>
                <w:rFonts w:hint="eastAsia" w:ascii="宋体" w:hAnsi="宋体" w:cs="方正仿宋_GBK"/>
                <w:b/>
                <w:color w:val="auto"/>
                <w:highlight w:val="none"/>
              </w:rPr>
              <w:t>分值</w:t>
            </w:r>
          </w:p>
        </w:tc>
        <w:tc>
          <w:tcPr>
            <w:tcW w:w="3827" w:type="dxa"/>
            <w:vAlign w:val="center"/>
          </w:tcPr>
          <w:p>
            <w:pPr>
              <w:adjustRightInd w:val="0"/>
              <w:snapToGrid w:val="0"/>
              <w:ind w:firstLine="28"/>
              <w:jc w:val="center"/>
              <w:rPr>
                <w:rFonts w:ascii="宋体" w:hAnsi="宋体" w:cs="方正仿宋_GBK"/>
                <w:b/>
                <w:color w:val="auto"/>
                <w:highlight w:val="none"/>
              </w:rPr>
            </w:pPr>
            <w:r>
              <w:rPr>
                <w:rFonts w:hint="eastAsia" w:ascii="宋体" w:hAnsi="宋体" w:cs="方正仿宋_GBK"/>
                <w:b/>
                <w:color w:val="auto"/>
                <w:highlight w:val="none"/>
              </w:rPr>
              <w:t>评分标准</w:t>
            </w:r>
          </w:p>
        </w:tc>
        <w:tc>
          <w:tcPr>
            <w:tcW w:w="2360" w:type="dxa"/>
            <w:vAlign w:val="center"/>
          </w:tcPr>
          <w:p>
            <w:pPr>
              <w:adjustRightInd w:val="0"/>
              <w:snapToGrid w:val="0"/>
              <w:jc w:val="center"/>
              <w:rPr>
                <w:rFonts w:ascii="宋体" w:hAnsi="宋体" w:cs="方正仿宋_GBK"/>
                <w:b/>
                <w:color w:val="auto"/>
                <w:kern w:val="2"/>
                <w:highlight w:val="none"/>
              </w:rPr>
            </w:pPr>
            <w:r>
              <w:rPr>
                <w:rFonts w:hint="eastAsia" w:ascii="宋体" w:hAnsi="宋体" w:cs="方正仿宋_GBK"/>
                <w:b/>
                <w:color w:val="auto"/>
                <w:kern w:val="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Align w:val="center"/>
          </w:tcPr>
          <w:p>
            <w:pPr>
              <w:ind w:firstLine="28"/>
              <w:jc w:val="center"/>
              <w:rPr>
                <w:rFonts w:hint="eastAsia" w:ascii="宋体" w:hAnsi="宋体" w:eastAsia="宋体" w:cs="方正仿宋_GBK"/>
                <w:color w:val="auto"/>
                <w:sz w:val="21"/>
                <w:szCs w:val="21"/>
                <w:highlight w:val="none"/>
                <w:lang w:val="en-US" w:eastAsia="zh-CN"/>
              </w:rPr>
            </w:pPr>
            <w:r>
              <w:rPr>
                <w:rFonts w:hint="eastAsia" w:ascii="宋体" w:hAnsi="宋体" w:cs="方正仿宋_GBK"/>
                <w:color w:val="auto"/>
                <w:sz w:val="21"/>
                <w:szCs w:val="21"/>
                <w:highlight w:val="none"/>
                <w:lang w:val="en-US" w:eastAsia="zh-CN"/>
              </w:rPr>
              <w:t>1</w:t>
            </w:r>
          </w:p>
        </w:tc>
        <w:tc>
          <w:tcPr>
            <w:tcW w:w="851" w:type="dxa"/>
            <w:vAlign w:val="center"/>
          </w:tcPr>
          <w:p>
            <w:pPr>
              <w:adjustRightInd w:val="0"/>
              <w:snapToGrid w:val="0"/>
              <w:ind w:firstLine="28"/>
              <w:jc w:val="center"/>
              <w:rPr>
                <w:rFonts w:hint="default" w:ascii="宋体" w:hAnsi="宋体" w:cs="方正仿宋_GBK"/>
                <w:color w:val="auto"/>
                <w:sz w:val="21"/>
                <w:szCs w:val="21"/>
                <w:highlight w:val="none"/>
                <w:lang w:val="en-US" w:eastAsia="zh-CN"/>
              </w:rPr>
            </w:pPr>
            <w:r>
              <w:rPr>
                <w:rFonts w:hint="eastAsia" w:ascii="宋体" w:hAnsi="宋体" w:cs="方正仿宋_GBK"/>
                <w:color w:val="auto"/>
                <w:sz w:val="21"/>
                <w:szCs w:val="21"/>
                <w:highlight w:val="none"/>
                <w:lang w:val="en-US" w:eastAsia="zh-CN"/>
              </w:rPr>
              <w:t>投标报价（10%）</w:t>
            </w:r>
          </w:p>
        </w:tc>
        <w:tc>
          <w:tcPr>
            <w:tcW w:w="851" w:type="dxa"/>
            <w:vAlign w:val="center"/>
          </w:tcPr>
          <w:p>
            <w:pPr>
              <w:adjustRightInd w:val="0"/>
              <w:snapToGrid w:val="0"/>
              <w:ind w:firstLine="28"/>
              <w:jc w:val="center"/>
              <w:rPr>
                <w:rFonts w:hint="eastAsia" w:ascii="宋体" w:hAnsi="宋体" w:cs="方正仿宋_GBK"/>
                <w:color w:val="auto"/>
                <w:sz w:val="21"/>
                <w:szCs w:val="21"/>
                <w:highlight w:val="none"/>
                <w:lang w:val="en-US" w:eastAsia="zh-CN"/>
              </w:rPr>
            </w:pPr>
            <w:r>
              <w:rPr>
                <w:rFonts w:hint="eastAsia" w:ascii="宋体" w:hAnsi="宋体" w:cs="方正仿宋_GBK"/>
                <w:color w:val="auto"/>
                <w:sz w:val="21"/>
                <w:szCs w:val="21"/>
                <w:highlight w:val="none"/>
                <w:lang w:val="en-US" w:eastAsia="zh-CN"/>
              </w:rPr>
              <w:t>折扣率</w:t>
            </w:r>
          </w:p>
        </w:tc>
        <w:tc>
          <w:tcPr>
            <w:tcW w:w="1171" w:type="dxa"/>
            <w:vAlign w:val="center"/>
          </w:tcPr>
          <w:p>
            <w:pPr>
              <w:adjustRightInd w:val="0"/>
              <w:snapToGrid w:val="0"/>
              <w:ind w:firstLine="28"/>
              <w:jc w:val="center"/>
              <w:rPr>
                <w:rFonts w:hint="default" w:ascii="宋体" w:hAnsi="宋体" w:cs="方正仿宋_GBK"/>
                <w:color w:val="auto"/>
                <w:sz w:val="21"/>
                <w:szCs w:val="21"/>
                <w:highlight w:val="none"/>
                <w:lang w:val="en-US" w:eastAsia="zh-CN"/>
              </w:rPr>
            </w:pPr>
            <w:r>
              <w:rPr>
                <w:rFonts w:hint="eastAsia" w:ascii="宋体" w:hAnsi="宋体" w:cs="方正仿宋_GBK"/>
                <w:color w:val="auto"/>
                <w:sz w:val="21"/>
                <w:szCs w:val="21"/>
                <w:highlight w:val="none"/>
                <w:lang w:val="en-US" w:eastAsia="zh-CN"/>
              </w:rPr>
              <w:t>10分</w:t>
            </w:r>
          </w:p>
        </w:tc>
        <w:tc>
          <w:tcPr>
            <w:tcW w:w="3827" w:type="dxa"/>
            <w:vAlign w:val="center"/>
          </w:tcPr>
          <w:p>
            <w:pPr>
              <w:adjustRightInd w:val="0"/>
              <w:snapToGrid w:val="0"/>
              <w:ind w:firstLine="28"/>
              <w:jc w:val="both"/>
              <w:rPr>
                <w:rFonts w:hint="eastAsia" w:ascii="宋体" w:hAnsi="宋体" w:cs="方正仿宋_GBK"/>
                <w:color w:val="auto"/>
                <w:sz w:val="21"/>
                <w:szCs w:val="21"/>
                <w:highlight w:val="none"/>
              </w:rPr>
            </w:pPr>
            <w:r>
              <w:rPr>
                <w:rFonts w:hint="eastAsia" w:ascii="宋体" w:hAnsi="宋体" w:cs="方正仿宋_GBK"/>
                <w:color w:val="auto"/>
                <w:sz w:val="21"/>
                <w:szCs w:val="21"/>
                <w:highlight w:val="none"/>
              </w:rPr>
              <w:t>有效的投标报价中的最低价为评标基准价，其价格分为满分。其他投标人的价格分统一按照下列公式计算：投标报价得分＝（评标基准价/投标报价）×价格权重×100。</w:t>
            </w:r>
          </w:p>
        </w:tc>
        <w:tc>
          <w:tcPr>
            <w:tcW w:w="2360" w:type="dxa"/>
            <w:vAlign w:val="center"/>
          </w:tcPr>
          <w:p>
            <w:pPr>
              <w:adjustRightInd w:val="0"/>
              <w:snapToGrid w:val="0"/>
              <w:rPr>
                <w:rFonts w:hint="eastAsia" w:ascii="宋体" w:hAnsi="宋体"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Align w:val="center"/>
          </w:tcPr>
          <w:p>
            <w:pPr>
              <w:ind w:firstLine="28"/>
              <w:jc w:val="center"/>
              <w:rPr>
                <w:rFonts w:hint="eastAsia" w:ascii="宋体" w:hAnsi="宋体" w:eastAsia="宋体" w:cs="方正仿宋_GBK"/>
                <w:color w:val="auto"/>
                <w:sz w:val="21"/>
                <w:szCs w:val="21"/>
                <w:highlight w:val="none"/>
                <w:lang w:eastAsia="zh-CN"/>
              </w:rPr>
            </w:pPr>
            <w:r>
              <w:rPr>
                <w:rFonts w:hint="eastAsia" w:ascii="宋体" w:hAnsi="宋体" w:cs="方正仿宋_GBK"/>
                <w:color w:val="auto"/>
                <w:sz w:val="21"/>
                <w:szCs w:val="21"/>
                <w:highlight w:val="none"/>
                <w:lang w:val="en-US" w:eastAsia="zh-CN"/>
              </w:rPr>
              <w:t>2</w:t>
            </w:r>
          </w:p>
        </w:tc>
        <w:tc>
          <w:tcPr>
            <w:tcW w:w="851" w:type="dxa"/>
            <w:vAlign w:val="center"/>
          </w:tcPr>
          <w:p>
            <w:pPr>
              <w:adjustRightInd w:val="0"/>
              <w:snapToGrid w:val="0"/>
              <w:ind w:firstLine="28"/>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rPr>
              <w:t>技术部分</w:t>
            </w:r>
          </w:p>
          <w:p>
            <w:pPr>
              <w:adjustRightInd w:val="0"/>
              <w:snapToGrid w:val="0"/>
              <w:ind w:firstLine="28"/>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lang w:val="en-US" w:eastAsia="zh-CN"/>
              </w:rPr>
              <w:t>55</w:t>
            </w:r>
            <w:r>
              <w:rPr>
                <w:rFonts w:hint="eastAsia" w:ascii="宋体" w:hAnsi="宋体" w:cs="方正仿宋_GBK"/>
                <w:color w:val="auto"/>
                <w:sz w:val="21"/>
                <w:szCs w:val="21"/>
                <w:highlight w:val="none"/>
              </w:rPr>
              <w:t>%</w:t>
            </w:r>
          </w:p>
        </w:tc>
        <w:tc>
          <w:tcPr>
            <w:tcW w:w="851" w:type="dxa"/>
            <w:vAlign w:val="center"/>
          </w:tcPr>
          <w:p>
            <w:pPr>
              <w:adjustRightInd w:val="0"/>
              <w:snapToGrid w:val="0"/>
              <w:ind w:firstLine="28"/>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rPr>
              <w:t>技术方案</w:t>
            </w:r>
          </w:p>
        </w:tc>
        <w:tc>
          <w:tcPr>
            <w:tcW w:w="1171" w:type="dxa"/>
            <w:vAlign w:val="center"/>
          </w:tcPr>
          <w:p>
            <w:pPr>
              <w:adjustRightInd w:val="0"/>
              <w:snapToGrid w:val="0"/>
              <w:jc w:val="center"/>
              <w:rPr>
                <w:rFonts w:hint="eastAsia" w:ascii="宋体" w:hAnsi="宋体" w:eastAsia="宋体" w:cs="方正仿宋_GBK"/>
                <w:color w:val="auto"/>
                <w:sz w:val="21"/>
                <w:szCs w:val="21"/>
                <w:highlight w:val="none"/>
                <w:lang w:val="en-US" w:eastAsia="zh-CN"/>
              </w:rPr>
            </w:pPr>
            <w:r>
              <w:rPr>
                <w:rFonts w:hint="eastAsia" w:ascii="宋体" w:hAnsi="宋体" w:cs="方正仿宋_GBK"/>
                <w:color w:val="auto"/>
                <w:sz w:val="21"/>
                <w:szCs w:val="21"/>
                <w:highlight w:val="none"/>
                <w:lang w:val="en-US" w:eastAsia="zh-CN"/>
              </w:rPr>
              <w:t>55分</w:t>
            </w:r>
          </w:p>
        </w:tc>
        <w:tc>
          <w:tcPr>
            <w:tcW w:w="3827" w:type="dxa"/>
            <w:vAlign w:val="center"/>
          </w:tcPr>
          <w:p>
            <w:pPr>
              <w:numPr>
                <w:ilvl w:val="0"/>
                <w:numId w:val="5"/>
              </w:numPr>
              <w:adjustRightInd w:val="0"/>
              <w:snapToGrid w:val="0"/>
              <w:rPr>
                <w:rFonts w:hint="eastAsia" w:ascii="Times New Roman" w:hAnsi="Times New Roman" w:eastAsia="宋体" w:cs="Times New Roman"/>
                <w:color w:val="auto"/>
                <w:sz w:val="21"/>
                <w:szCs w:val="24"/>
                <w:highlight w:val="none"/>
                <w:lang w:val="en-US" w:eastAsia="zh-CN" w:bidi="ar-SA"/>
              </w:rPr>
            </w:pPr>
            <w:r>
              <w:rPr>
                <w:rFonts w:hint="eastAsia" w:ascii="Times New Roman" w:hAnsi="Times New Roman" w:eastAsia="宋体" w:cs="Times New Roman"/>
                <w:color w:val="auto"/>
                <w:sz w:val="21"/>
                <w:szCs w:val="24"/>
                <w:highlight w:val="none"/>
                <w:lang w:val="en-US" w:eastAsia="zh-CN" w:bidi="ar-SA"/>
              </w:rPr>
              <w:t>政策熟悉度1</w:t>
            </w:r>
            <w:r>
              <w:rPr>
                <w:rFonts w:hint="eastAsia" w:cs="Times New Roman"/>
                <w:color w:val="auto"/>
                <w:sz w:val="21"/>
                <w:szCs w:val="24"/>
                <w:highlight w:val="none"/>
                <w:lang w:val="en-US" w:eastAsia="zh-CN" w:bidi="ar-SA"/>
              </w:rPr>
              <w:t>5</w:t>
            </w:r>
            <w:r>
              <w:rPr>
                <w:rFonts w:hint="eastAsia" w:ascii="Times New Roman" w:hAnsi="Times New Roman" w:eastAsia="宋体" w:cs="Times New Roman"/>
                <w:color w:val="auto"/>
                <w:sz w:val="21"/>
                <w:szCs w:val="24"/>
                <w:highlight w:val="none"/>
                <w:lang w:val="en-US" w:eastAsia="zh-CN" w:bidi="ar-SA"/>
              </w:rPr>
              <w:t>分</w:t>
            </w:r>
          </w:p>
          <w:p>
            <w:pPr>
              <w:pStyle w:val="18"/>
              <w:jc w:val="both"/>
              <w:rPr>
                <w:color w:val="auto"/>
                <w:highlight w:val="none"/>
              </w:rPr>
            </w:pPr>
            <w:r>
              <w:rPr>
                <w:rFonts w:hint="eastAsia"/>
                <w:color w:val="auto"/>
                <w:highlight w:val="none"/>
              </w:rPr>
              <w:t>能够正确理解各类采购方式及其适用情形，提供对各类采购方式的政策理解及解读方案。从提供内容完整度、条理清晰度、解读内容合理合规有理有据、逻辑清晰等方面进行横向比较，优得1</w:t>
            </w:r>
            <w:r>
              <w:rPr>
                <w:rFonts w:hint="eastAsia"/>
                <w:color w:val="auto"/>
                <w:highlight w:val="none"/>
                <w:lang w:val="en-US" w:eastAsia="zh-CN"/>
              </w:rPr>
              <w:t>5</w:t>
            </w:r>
            <w:r>
              <w:rPr>
                <w:rFonts w:hint="eastAsia"/>
                <w:color w:val="auto"/>
                <w:highlight w:val="none"/>
              </w:rPr>
              <w:t>分，良得</w:t>
            </w:r>
            <w:r>
              <w:rPr>
                <w:rFonts w:hint="eastAsia"/>
                <w:color w:val="auto"/>
                <w:highlight w:val="none"/>
                <w:lang w:val="en-US" w:eastAsia="zh-CN"/>
              </w:rPr>
              <w:t>10</w:t>
            </w:r>
            <w:r>
              <w:rPr>
                <w:rFonts w:hint="eastAsia"/>
                <w:color w:val="auto"/>
                <w:highlight w:val="none"/>
              </w:rPr>
              <w:t>分，一般得</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其他不得分</w:t>
            </w:r>
            <w:r>
              <w:rPr>
                <w:rFonts w:hint="eastAsia"/>
                <w:color w:val="auto"/>
                <w:highlight w:val="none"/>
              </w:rPr>
              <w:t>，所提供内容与相关法律法规相悖或者未提供的不得分。</w:t>
            </w:r>
          </w:p>
          <w:p>
            <w:pPr>
              <w:pStyle w:val="18"/>
              <w:numPr>
                <w:ilvl w:val="0"/>
                <w:numId w:val="5"/>
              </w:numPr>
              <w:jc w:val="both"/>
              <w:rPr>
                <w:color w:val="auto"/>
                <w:highlight w:val="none"/>
              </w:rPr>
            </w:pPr>
            <w:r>
              <w:rPr>
                <w:rFonts w:hint="eastAsia"/>
                <w:color w:val="auto"/>
                <w:highlight w:val="none"/>
              </w:rPr>
              <w:t>采购代理服务方案</w:t>
            </w:r>
            <w:r>
              <w:rPr>
                <w:rFonts w:hint="eastAsia"/>
                <w:color w:val="auto"/>
                <w:highlight w:val="none"/>
                <w:lang w:val="en-US" w:eastAsia="zh-CN"/>
              </w:rPr>
              <w:t>24</w:t>
            </w:r>
            <w:r>
              <w:rPr>
                <w:rFonts w:hint="eastAsia"/>
                <w:color w:val="auto"/>
                <w:highlight w:val="none"/>
              </w:rPr>
              <w:t>分</w:t>
            </w:r>
          </w:p>
          <w:p>
            <w:pPr>
              <w:pStyle w:val="18"/>
              <w:numPr>
                <w:ilvl w:val="0"/>
                <w:numId w:val="6"/>
              </w:numPr>
              <w:jc w:val="both"/>
              <w:rPr>
                <w:color w:val="auto"/>
                <w:highlight w:val="none"/>
              </w:rPr>
            </w:pPr>
            <w:r>
              <w:rPr>
                <w:rFonts w:hint="eastAsia"/>
                <w:color w:val="auto"/>
                <w:highlight w:val="none"/>
              </w:rPr>
              <w:t>提供采购代理的流程图及关键工作的保障安排，包括但不限于招标、投标、开标、评标等内容。从服务方案内容全面、符合政府采购相关法律法规、流程控制全面等进行横向比较，优得10分，良得7分，一般得4分，差或未提供的不得分。</w:t>
            </w:r>
          </w:p>
          <w:p>
            <w:pPr>
              <w:pStyle w:val="18"/>
              <w:numPr>
                <w:ilvl w:val="0"/>
                <w:numId w:val="6"/>
              </w:numPr>
              <w:jc w:val="both"/>
              <w:rPr>
                <w:color w:val="auto"/>
                <w:highlight w:val="none"/>
              </w:rPr>
            </w:pPr>
            <w:r>
              <w:rPr>
                <w:rFonts w:hint="eastAsia"/>
                <w:color w:val="auto"/>
                <w:highlight w:val="none"/>
              </w:rPr>
              <w:t>提供采购质量保证措施、保密措施等，优得</w:t>
            </w:r>
            <w:r>
              <w:rPr>
                <w:rFonts w:hint="eastAsia"/>
                <w:color w:val="auto"/>
                <w:highlight w:val="none"/>
                <w:lang w:val="en-US" w:eastAsia="zh-CN"/>
              </w:rPr>
              <w:t>8</w:t>
            </w:r>
            <w:r>
              <w:rPr>
                <w:rFonts w:hint="eastAsia"/>
                <w:color w:val="auto"/>
                <w:highlight w:val="none"/>
              </w:rPr>
              <w:t>分，良得</w:t>
            </w:r>
            <w:r>
              <w:rPr>
                <w:rFonts w:hint="eastAsia"/>
                <w:color w:val="auto"/>
                <w:highlight w:val="none"/>
                <w:lang w:val="en-US" w:eastAsia="zh-CN"/>
              </w:rPr>
              <w:t>6</w:t>
            </w:r>
            <w:r>
              <w:rPr>
                <w:rFonts w:hint="eastAsia"/>
                <w:color w:val="auto"/>
                <w:highlight w:val="none"/>
              </w:rPr>
              <w:t>分，一般得4分，差或未提供不得分。</w:t>
            </w:r>
          </w:p>
          <w:p>
            <w:pPr>
              <w:pStyle w:val="18"/>
              <w:numPr>
                <w:ilvl w:val="0"/>
                <w:numId w:val="6"/>
              </w:numPr>
              <w:jc w:val="both"/>
              <w:rPr>
                <w:color w:val="auto"/>
                <w:highlight w:val="none"/>
              </w:rPr>
            </w:pPr>
            <w:r>
              <w:rPr>
                <w:rFonts w:hint="eastAsia"/>
                <w:color w:val="auto"/>
                <w:highlight w:val="none"/>
              </w:rPr>
              <w:t>提供质疑答复管理措施，优得</w:t>
            </w:r>
            <w:r>
              <w:rPr>
                <w:rFonts w:hint="eastAsia"/>
                <w:color w:val="auto"/>
                <w:highlight w:val="none"/>
                <w:lang w:val="en-US" w:eastAsia="zh-CN"/>
              </w:rPr>
              <w:t>6</w:t>
            </w:r>
            <w:r>
              <w:rPr>
                <w:rFonts w:hint="eastAsia"/>
                <w:color w:val="auto"/>
                <w:highlight w:val="none"/>
              </w:rPr>
              <w:t>分，良</w:t>
            </w:r>
            <w:r>
              <w:rPr>
                <w:rFonts w:hint="eastAsia"/>
                <w:color w:val="auto"/>
                <w:highlight w:val="none"/>
                <w:lang w:val="en-US" w:eastAsia="zh-CN"/>
              </w:rPr>
              <w:t>4</w:t>
            </w:r>
            <w:r>
              <w:rPr>
                <w:rFonts w:hint="eastAsia"/>
                <w:color w:val="auto"/>
                <w:highlight w:val="none"/>
              </w:rPr>
              <w:t>分，一般得</w:t>
            </w:r>
            <w:r>
              <w:rPr>
                <w:rFonts w:hint="eastAsia"/>
                <w:color w:val="auto"/>
                <w:highlight w:val="none"/>
                <w:lang w:val="en-US" w:eastAsia="zh-CN"/>
              </w:rPr>
              <w:t>2</w:t>
            </w:r>
            <w:r>
              <w:rPr>
                <w:rFonts w:hint="eastAsia"/>
                <w:color w:val="auto"/>
                <w:highlight w:val="none"/>
              </w:rPr>
              <w:t>分，差或未提供不得分。</w:t>
            </w:r>
          </w:p>
          <w:p>
            <w:pPr>
              <w:pStyle w:val="18"/>
              <w:numPr>
                <w:ilvl w:val="0"/>
                <w:numId w:val="5"/>
              </w:numPr>
              <w:jc w:val="both"/>
              <w:rPr>
                <w:color w:val="auto"/>
                <w:highlight w:val="none"/>
              </w:rPr>
            </w:pPr>
            <w:r>
              <w:rPr>
                <w:rFonts w:hint="eastAsia"/>
                <w:color w:val="auto"/>
                <w:highlight w:val="none"/>
              </w:rPr>
              <w:t>档案管理方案</w:t>
            </w:r>
            <w:r>
              <w:rPr>
                <w:rFonts w:hint="eastAsia"/>
                <w:color w:val="auto"/>
                <w:highlight w:val="none"/>
                <w:lang w:val="en-US" w:eastAsia="zh-CN"/>
              </w:rPr>
              <w:t>6</w:t>
            </w:r>
            <w:r>
              <w:rPr>
                <w:rFonts w:hint="eastAsia"/>
                <w:color w:val="auto"/>
                <w:highlight w:val="none"/>
              </w:rPr>
              <w:t>分</w:t>
            </w:r>
          </w:p>
          <w:p>
            <w:pPr>
              <w:pStyle w:val="18"/>
              <w:jc w:val="both"/>
              <w:rPr>
                <w:color w:val="auto"/>
                <w:highlight w:val="none"/>
              </w:rPr>
            </w:pPr>
            <w:r>
              <w:rPr>
                <w:rFonts w:hint="eastAsia"/>
                <w:color w:val="auto"/>
                <w:highlight w:val="none"/>
              </w:rPr>
              <w:t>提供采购代理档案管理方案，包括档案收集、归档、入档、档案交付等内容，从响应速度承诺、归档资料完整度、资料保存等方面进行横向比较，优得</w:t>
            </w:r>
            <w:r>
              <w:rPr>
                <w:rFonts w:hint="eastAsia"/>
                <w:color w:val="auto"/>
                <w:highlight w:val="none"/>
                <w:lang w:val="en-US" w:eastAsia="zh-CN"/>
              </w:rPr>
              <w:t>6</w:t>
            </w:r>
            <w:r>
              <w:rPr>
                <w:rFonts w:hint="eastAsia"/>
                <w:color w:val="auto"/>
                <w:highlight w:val="none"/>
              </w:rPr>
              <w:t>分，良得</w:t>
            </w:r>
            <w:r>
              <w:rPr>
                <w:rFonts w:hint="eastAsia"/>
                <w:color w:val="auto"/>
                <w:highlight w:val="none"/>
                <w:lang w:val="en-US" w:eastAsia="zh-CN"/>
              </w:rPr>
              <w:t>4</w:t>
            </w:r>
            <w:r>
              <w:rPr>
                <w:rFonts w:hint="eastAsia"/>
                <w:color w:val="auto"/>
                <w:highlight w:val="none"/>
              </w:rPr>
              <w:t>分，一般得</w:t>
            </w:r>
            <w:r>
              <w:rPr>
                <w:rFonts w:hint="eastAsia"/>
                <w:color w:val="auto"/>
                <w:highlight w:val="none"/>
                <w:lang w:val="en-US" w:eastAsia="zh-CN"/>
              </w:rPr>
              <w:t>2</w:t>
            </w:r>
            <w:r>
              <w:rPr>
                <w:rFonts w:hint="eastAsia"/>
                <w:color w:val="auto"/>
                <w:highlight w:val="none"/>
              </w:rPr>
              <w:t xml:space="preserve">分，差或不提供不得分。 </w:t>
            </w:r>
          </w:p>
          <w:p>
            <w:pPr>
              <w:pStyle w:val="18"/>
              <w:numPr>
                <w:ilvl w:val="0"/>
                <w:numId w:val="5"/>
              </w:numPr>
              <w:jc w:val="both"/>
              <w:rPr>
                <w:color w:val="auto"/>
                <w:highlight w:val="none"/>
              </w:rPr>
            </w:pPr>
            <w:r>
              <w:rPr>
                <w:rFonts w:hint="eastAsia"/>
                <w:color w:val="auto"/>
                <w:highlight w:val="none"/>
              </w:rPr>
              <w:t>其他咨询服务10分</w:t>
            </w:r>
          </w:p>
          <w:p>
            <w:pPr>
              <w:pStyle w:val="18"/>
              <w:jc w:val="both"/>
              <w:rPr>
                <w:color w:val="auto"/>
                <w:highlight w:val="none"/>
              </w:rPr>
            </w:pPr>
            <w:r>
              <w:rPr>
                <w:rFonts w:hint="eastAsia"/>
                <w:color w:val="auto"/>
                <w:highlight w:val="none"/>
              </w:rPr>
              <w:t>代理机构能为采购人提供其他未被委托项目的咨询服务，如政策咨询等。从服务方案内容丰富度、能有效保障采购人工作开展等进行横向比较，优得10分，良得7分，一般得4分，差或未提供不得分。</w:t>
            </w:r>
          </w:p>
        </w:tc>
        <w:tc>
          <w:tcPr>
            <w:tcW w:w="2360" w:type="dxa"/>
            <w:vAlign w:val="center"/>
          </w:tcPr>
          <w:p>
            <w:pPr>
              <w:adjustRightInd w:val="0"/>
              <w:snapToGrid w:val="0"/>
              <w:rPr>
                <w:rFonts w:ascii="宋体" w:hAnsi="宋体" w:cs="方正仿宋_GBK"/>
                <w:color w:val="auto"/>
                <w:sz w:val="21"/>
                <w:szCs w:val="21"/>
                <w:highlight w:val="none"/>
              </w:rPr>
            </w:pPr>
            <w:r>
              <w:rPr>
                <w:rFonts w:hint="eastAsia" w:ascii="宋体" w:hAnsi="宋体" w:cs="方正仿宋_GBK"/>
                <w:color w:val="auto"/>
                <w:sz w:val="21"/>
                <w:szCs w:val="21"/>
                <w:highlight w:val="none"/>
              </w:rPr>
              <w:t>提供方案，并加盖投标人公章。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425" w:type="dxa"/>
            <w:vMerge w:val="restart"/>
            <w:vAlign w:val="center"/>
          </w:tcPr>
          <w:p>
            <w:pPr>
              <w:ind w:firstLine="28"/>
              <w:jc w:val="center"/>
              <w:rPr>
                <w:rFonts w:hint="eastAsia" w:ascii="宋体" w:hAnsi="宋体" w:eastAsia="宋体" w:cs="方正仿宋_GBK"/>
                <w:color w:val="auto"/>
                <w:sz w:val="21"/>
                <w:szCs w:val="21"/>
                <w:highlight w:val="none"/>
                <w:lang w:eastAsia="zh-CN"/>
              </w:rPr>
            </w:pPr>
            <w:r>
              <w:rPr>
                <w:rFonts w:hint="eastAsia" w:ascii="宋体" w:hAnsi="宋体" w:cs="方正仿宋_GBK"/>
                <w:color w:val="auto"/>
                <w:sz w:val="21"/>
                <w:szCs w:val="21"/>
                <w:highlight w:val="none"/>
                <w:lang w:val="en-US" w:eastAsia="zh-CN"/>
              </w:rPr>
              <w:t>3</w:t>
            </w:r>
          </w:p>
        </w:tc>
        <w:tc>
          <w:tcPr>
            <w:tcW w:w="851" w:type="dxa"/>
            <w:vMerge w:val="restart"/>
            <w:vAlign w:val="center"/>
          </w:tcPr>
          <w:p>
            <w:pPr>
              <w:adjustRightInd w:val="0"/>
              <w:snapToGrid w:val="0"/>
              <w:ind w:firstLine="28"/>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rPr>
              <w:t>商务部分</w:t>
            </w:r>
            <w:r>
              <w:rPr>
                <w:rFonts w:hint="eastAsia" w:ascii="宋体" w:hAnsi="宋体" w:cs="方正仿宋_GBK"/>
                <w:color w:val="auto"/>
                <w:sz w:val="21"/>
                <w:szCs w:val="21"/>
                <w:highlight w:val="none"/>
                <w:lang w:val="en-US" w:eastAsia="zh-CN"/>
              </w:rPr>
              <w:t>35</w:t>
            </w:r>
            <w:r>
              <w:rPr>
                <w:rFonts w:hint="eastAsia" w:ascii="宋体" w:hAnsi="宋体" w:cs="方正仿宋_GBK"/>
                <w:color w:val="auto"/>
                <w:sz w:val="21"/>
                <w:szCs w:val="21"/>
                <w:highlight w:val="none"/>
              </w:rPr>
              <w:t>%</w:t>
            </w:r>
          </w:p>
        </w:tc>
        <w:tc>
          <w:tcPr>
            <w:tcW w:w="851" w:type="dxa"/>
            <w:vMerge w:val="restart"/>
            <w:vAlign w:val="center"/>
          </w:tcPr>
          <w:p>
            <w:pPr>
              <w:adjustRightInd w:val="0"/>
              <w:snapToGrid w:val="0"/>
              <w:rPr>
                <w:rFonts w:ascii="宋体" w:hAnsi="宋体" w:cs="方正仿宋_GBK"/>
                <w:color w:val="auto"/>
                <w:sz w:val="21"/>
                <w:szCs w:val="21"/>
                <w:highlight w:val="none"/>
              </w:rPr>
            </w:pPr>
            <w:r>
              <w:rPr>
                <w:rFonts w:hint="eastAsia" w:ascii="宋体" w:hAnsi="宋体" w:cs="方正仿宋_GBK"/>
                <w:color w:val="auto"/>
                <w:sz w:val="21"/>
                <w:szCs w:val="21"/>
                <w:highlight w:val="none"/>
              </w:rPr>
              <w:t>履约能力</w:t>
            </w:r>
          </w:p>
          <w:p>
            <w:pPr>
              <w:adjustRightInd w:val="0"/>
              <w:snapToGrid w:val="0"/>
              <w:ind w:firstLine="28"/>
              <w:jc w:val="center"/>
              <w:rPr>
                <w:rFonts w:ascii="宋体" w:hAnsi="宋体" w:cs="方正仿宋_GBK"/>
                <w:color w:val="auto"/>
                <w:sz w:val="21"/>
                <w:szCs w:val="21"/>
                <w:highlight w:val="none"/>
              </w:rPr>
            </w:pPr>
          </w:p>
        </w:tc>
        <w:tc>
          <w:tcPr>
            <w:tcW w:w="1171" w:type="dxa"/>
            <w:vMerge w:val="restart"/>
            <w:vAlign w:val="center"/>
          </w:tcPr>
          <w:p>
            <w:pPr>
              <w:adjustRightInd w:val="0"/>
              <w:snapToGrid w:val="0"/>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rPr>
              <w:t>15分</w:t>
            </w:r>
          </w:p>
          <w:p>
            <w:pPr>
              <w:ind w:firstLine="28"/>
              <w:jc w:val="center"/>
              <w:rPr>
                <w:rFonts w:ascii="宋体" w:hAnsi="宋体" w:cs="方正仿宋_GBK"/>
                <w:color w:val="auto"/>
                <w:sz w:val="21"/>
                <w:szCs w:val="21"/>
                <w:highlight w:val="none"/>
              </w:rPr>
            </w:pPr>
          </w:p>
        </w:tc>
        <w:tc>
          <w:tcPr>
            <w:tcW w:w="3827" w:type="dxa"/>
            <w:vAlign w:val="center"/>
          </w:tcPr>
          <w:p>
            <w:pPr>
              <w:pStyle w:val="18"/>
              <w:jc w:val="both"/>
              <w:rPr>
                <w:color w:val="auto"/>
                <w:highlight w:val="none"/>
              </w:rPr>
            </w:pPr>
            <w:r>
              <w:rPr>
                <w:rFonts w:hint="eastAsia"/>
                <w:color w:val="auto"/>
                <w:highlight w:val="none"/>
              </w:rPr>
              <w:t>1.专业人员配备</w:t>
            </w:r>
          </w:p>
          <w:p>
            <w:pPr>
              <w:pStyle w:val="18"/>
              <w:jc w:val="both"/>
              <w:rPr>
                <w:color w:val="auto"/>
                <w:highlight w:val="none"/>
              </w:rPr>
            </w:pPr>
            <w:r>
              <w:rPr>
                <w:rFonts w:hint="eastAsia"/>
                <w:color w:val="auto"/>
                <w:highlight w:val="none"/>
              </w:rPr>
              <w:t>（1）项目负责人</w:t>
            </w:r>
          </w:p>
          <w:p>
            <w:pPr>
              <w:pStyle w:val="18"/>
              <w:jc w:val="both"/>
              <w:rPr>
                <w:color w:val="auto"/>
                <w:highlight w:val="none"/>
              </w:rPr>
            </w:pPr>
            <w:r>
              <w:rPr>
                <w:rFonts w:hint="eastAsia"/>
                <w:color w:val="auto"/>
                <w:highlight w:val="none"/>
              </w:rPr>
              <w:t>拟派本项目负责人应具有丰富的招标采购工作经验，从其从业年限、业绩、能力等方面横向比较，优得5分，良得3分，一般得1分，</w:t>
            </w:r>
            <w:r>
              <w:rPr>
                <w:rFonts w:hint="eastAsia"/>
                <w:color w:val="auto"/>
                <w:highlight w:val="none"/>
                <w:lang w:val="en-US" w:eastAsia="zh-CN"/>
              </w:rPr>
              <w:t>其他</w:t>
            </w:r>
            <w:r>
              <w:rPr>
                <w:rFonts w:hint="eastAsia"/>
                <w:color w:val="auto"/>
                <w:highlight w:val="none"/>
              </w:rPr>
              <w:t>不得分。</w:t>
            </w:r>
          </w:p>
          <w:p>
            <w:pPr>
              <w:pStyle w:val="18"/>
              <w:jc w:val="both"/>
              <w:rPr>
                <w:color w:val="auto"/>
                <w:highlight w:val="none"/>
              </w:rPr>
            </w:pPr>
            <w:r>
              <w:rPr>
                <w:rFonts w:hint="eastAsia"/>
                <w:color w:val="auto"/>
                <w:highlight w:val="none"/>
              </w:rPr>
              <w:t>（2）项目团队</w:t>
            </w:r>
          </w:p>
          <w:p>
            <w:pPr>
              <w:pStyle w:val="18"/>
              <w:jc w:val="both"/>
              <w:rPr>
                <w:rFonts w:ascii="宋体" w:hAnsi="宋体" w:cs="方正仿宋_GBK"/>
                <w:color w:val="auto"/>
                <w:szCs w:val="21"/>
                <w:highlight w:val="none"/>
              </w:rPr>
            </w:pPr>
            <w:r>
              <w:rPr>
                <w:rFonts w:hint="eastAsia"/>
                <w:color w:val="auto"/>
                <w:highlight w:val="none"/>
              </w:rPr>
              <w:t>拟派本项目团队成员需具备2021年以来重庆市财政局颁发的培训合格证书。在1人基础上，每增加1人得1分，满分4分。</w:t>
            </w:r>
          </w:p>
        </w:tc>
        <w:tc>
          <w:tcPr>
            <w:tcW w:w="2360" w:type="dxa"/>
            <w:tcBorders>
              <w:bottom w:val="single" w:color="auto" w:sz="4" w:space="0"/>
            </w:tcBorders>
            <w:vAlign w:val="center"/>
          </w:tcPr>
          <w:p>
            <w:pPr>
              <w:pStyle w:val="18"/>
              <w:jc w:val="both"/>
              <w:rPr>
                <w:color w:val="auto"/>
                <w:highlight w:val="none"/>
              </w:rPr>
            </w:pPr>
            <w:r>
              <w:rPr>
                <w:rFonts w:hint="eastAsia"/>
                <w:color w:val="auto"/>
                <w:highlight w:val="none"/>
              </w:rPr>
              <w:t>1.提供团队成员名单。</w:t>
            </w:r>
          </w:p>
          <w:p>
            <w:pPr>
              <w:pStyle w:val="18"/>
              <w:jc w:val="both"/>
              <w:rPr>
                <w:color w:val="auto"/>
                <w:highlight w:val="none"/>
              </w:rPr>
            </w:pPr>
            <w:r>
              <w:rPr>
                <w:rFonts w:hint="eastAsia"/>
                <w:color w:val="auto"/>
                <w:highlight w:val="none"/>
              </w:rPr>
              <w:t>2.拟派本项目人员必须是投标人本单位人员，提供项目负责人及其团队成员社保证明复印件、培训证书复印件并加盖公章。</w:t>
            </w:r>
          </w:p>
          <w:p>
            <w:pPr>
              <w:pStyle w:val="18"/>
              <w:jc w:val="both"/>
              <w:rPr>
                <w:color w:val="auto"/>
                <w:highlight w:val="none"/>
              </w:rPr>
            </w:pPr>
            <w:r>
              <w:rPr>
                <w:rFonts w:hint="eastAsia"/>
                <w:color w:val="auto"/>
                <w:highlight w:val="none"/>
              </w:rPr>
              <w:t>3.提供其他能证明项目负责人从业年限、业绩、能力等有关资料。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425" w:type="dxa"/>
            <w:vMerge w:val="continue"/>
            <w:vAlign w:val="center"/>
          </w:tcPr>
          <w:p>
            <w:pPr>
              <w:ind w:firstLine="28"/>
              <w:jc w:val="center"/>
              <w:rPr>
                <w:rFonts w:ascii="宋体" w:hAnsi="宋体" w:cs="方正仿宋_GBK"/>
                <w:color w:val="auto"/>
                <w:sz w:val="21"/>
                <w:szCs w:val="21"/>
                <w:highlight w:val="none"/>
              </w:rPr>
            </w:pPr>
          </w:p>
        </w:tc>
        <w:tc>
          <w:tcPr>
            <w:tcW w:w="851" w:type="dxa"/>
            <w:vMerge w:val="continue"/>
            <w:vAlign w:val="center"/>
          </w:tcPr>
          <w:p>
            <w:pPr>
              <w:adjustRightInd w:val="0"/>
              <w:snapToGrid w:val="0"/>
              <w:ind w:firstLine="28"/>
              <w:jc w:val="center"/>
              <w:rPr>
                <w:rFonts w:ascii="宋体" w:hAnsi="宋体" w:cs="方正仿宋_GBK"/>
                <w:color w:val="auto"/>
                <w:sz w:val="21"/>
                <w:szCs w:val="21"/>
                <w:highlight w:val="none"/>
              </w:rPr>
            </w:pPr>
          </w:p>
        </w:tc>
        <w:tc>
          <w:tcPr>
            <w:tcW w:w="851" w:type="dxa"/>
            <w:vMerge w:val="continue"/>
            <w:vAlign w:val="center"/>
          </w:tcPr>
          <w:p>
            <w:pPr>
              <w:adjustRightInd w:val="0"/>
              <w:snapToGrid w:val="0"/>
              <w:ind w:firstLine="28"/>
              <w:jc w:val="center"/>
              <w:rPr>
                <w:rFonts w:ascii="宋体" w:hAnsi="宋体" w:cs="方正仿宋_GBK"/>
                <w:color w:val="auto"/>
                <w:sz w:val="21"/>
                <w:szCs w:val="21"/>
                <w:highlight w:val="none"/>
              </w:rPr>
            </w:pPr>
          </w:p>
        </w:tc>
        <w:tc>
          <w:tcPr>
            <w:tcW w:w="1171" w:type="dxa"/>
            <w:vMerge w:val="continue"/>
            <w:vAlign w:val="center"/>
          </w:tcPr>
          <w:p>
            <w:pPr>
              <w:ind w:firstLine="28"/>
              <w:jc w:val="center"/>
              <w:rPr>
                <w:rFonts w:ascii="宋体" w:hAnsi="宋体" w:cs="方正仿宋_GBK"/>
                <w:color w:val="auto"/>
                <w:sz w:val="21"/>
                <w:szCs w:val="21"/>
                <w:highlight w:val="none"/>
              </w:rPr>
            </w:pPr>
          </w:p>
        </w:tc>
        <w:tc>
          <w:tcPr>
            <w:tcW w:w="3827" w:type="dxa"/>
            <w:vAlign w:val="center"/>
          </w:tcPr>
          <w:p>
            <w:pPr>
              <w:pStyle w:val="18"/>
              <w:numPr>
                <w:ilvl w:val="0"/>
                <w:numId w:val="7"/>
              </w:numPr>
              <w:jc w:val="both"/>
              <w:rPr>
                <w:rFonts w:ascii="宋体" w:hAnsi="宋体" w:cs="宋体"/>
                <w:color w:val="auto"/>
                <w:szCs w:val="21"/>
                <w:highlight w:val="none"/>
              </w:rPr>
            </w:pPr>
            <w:r>
              <w:rPr>
                <w:rFonts w:hint="eastAsia" w:ascii="宋体" w:hAnsi="宋体" w:cs="宋体"/>
                <w:color w:val="auto"/>
                <w:szCs w:val="21"/>
                <w:highlight w:val="none"/>
              </w:rPr>
              <w:t>场地配置</w:t>
            </w:r>
          </w:p>
          <w:p>
            <w:pPr>
              <w:pStyle w:val="18"/>
              <w:numPr>
                <w:ilvl w:val="0"/>
                <w:numId w:val="8"/>
              </w:numPr>
              <w:jc w:val="both"/>
              <w:rPr>
                <w:rFonts w:ascii="宋体" w:hAnsi="宋体" w:cs="宋体"/>
                <w:color w:val="auto"/>
                <w:szCs w:val="21"/>
                <w:highlight w:val="none"/>
              </w:rPr>
            </w:pPr>
            <w:r>
              <w:rPr>
                <w:rFonts w:hint="eastAsia" w:ascii="宋体" w:hAnsi="宋体" w:cs="宋体"/>
                <w:color w:val="auto"/>
                <w:szCs w:val="21"/>
                <w:highlight w:val="none"/>
              </w:rPr>
              <w:t>开标室配置</w:t>
            </w:r>
          </w:p>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投标人场地具有专业的开评标室，根据供应商提供的场地情况，从面积、环境、交通、评标场所录音录像设备等方面横向比较，优得3分，良得2分，一般得1分，差或未提供不得分。</w:t>
            </w:r>
          </w:p>
          <w:p>
            <w:pPr>
              <w:numPr>
                <w:ilvl w:val="0"/>
                <w:numId w:val="8"/>
              </w:num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档案室配置：投标人办公场地具有专门的档案管理室。从面积、整洁度、环境等方面横向比较，优得3分，良得2分，一般得1分，差或未提供不得分。</w:t>
            </w:r>
          </w:p>
          <w:p>
            <w:pPr>
              <w:pStyle w:val="18"/>
              <w:jc w:val="both"/>
              <w:rPr>
                <w:rFonts w:ascii="宋体" w:hAnsi="宋体" w:cs="宋体"/>
                <w:color w:val="auto"/>
                <w:szCs w:val="21"/>
                <w:highlight w:val="none"/>
              </w:rPr>
            </w:pPr>
          </w:p>
        </w:tc>
        <w:tc>
          <w:tcPr>
            <w:tcW w:w="2360" w:type="dxa"/>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提供实景照片以及房屋产权证书复印件或者房屋租赁合同复印件并加盖投标人公章。</w:t>
            </w:r>
          </w:p>
          <w:p>
            <w:pPr>
              <w:adjustRightInd w:val="0"/>
              <w:snapToGrid w:val="0"/>
              <w:ind w:left="-4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25" w:type="dxa"/>
            <w:vMerge w:val="continue"/>
            <w:vAlign w:val="center"/>
          </w:tcPr>
          <w:p>
            <w:pPr>
              <w:ind w:firstLine="28"/>
              <w:jc w:val="center"/>
              <w:rPr>
                <w:rFonts w:ascii="宋体" w:hAnsi="宋体" w:cs="方正仿宋_GBK"/>
                <w:color w:val="auto"/>
                <w:sz w:val="21"/>
                <w:szCs w:val="21"/>
                <w:highlight w:val="none"/>
              </w:rPr>
            </w:pPr>
          </w:p>
        </w:tc>
        <w:tc>
          <w:tcPr>
            <w:tcW w:w="851" w:type="dxa"/>
            <w:vMerge w:val="continue"/>
            <w:vAlign w:val="center"/>
          </w:tcPr>
          <w:p>
            <w:pPr>
              <w:adjustRightInd w:val="0"/>
              <w:snapToGrid w:val="0"/>
              <w:ind w:firstLine="28"/>
              <w:jc w:val="center"/>
              <w:rPr>
                <w:rFonts w:ascii="宋体" w:hAnsi="宋体" w:cs="方正仿宋_GBK"/>
                <w:color w:val="auto"/>
                <w:sz w:val="21"/>
                <w:szCs w:val="21"/>
                <w:highlight w:val="none"/>
              </w:rPr>
            </w:pPr>
          </w:p>
        </w:tc>
        <w:tc>
          <w:tcPr>
            <w:tcW w:w="851" w:type="dxa"/>
            <w:vMerge w:val="restart"/>
            <w:vAlign w:val="center"/>
          </w:tcPr>
          <w:p>
            <w:pPr>
              <w:adjustRightInd w:val="0"/>
              <w:snapToGrid w:val="0"/>
              <w:ind w:firstLine="28"/>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rPr>
              <w:t>业绩</w:t>
            </w:r>
          </w:p>
        </w:tc>
        <w:tc>
          <w:tcPr>
            <w:tcW w:w="1171" w:type="dxa"/>
            <w:vMerge w:val="restart"/>
            <w:vAlign w:val="center"/>
          </w:tcPr>
          <w:p>
            <w:pPr>
              <w:ind w:firstLine="28"/>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rPr>
              <w:t>20分</w:t>
            </w:r>
          </w:p>
        </w:tc>
        <w:tc>
          <w:tcPr>
            <w:tcW w:w="3827" w:type="dxa"/>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（1）自2022年以来，代理机构承接政府采购项目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单次预算金额50万以上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的，每提供一个业绩得0.1分，最多不超过10分。</w:t>
            </w:r>
          </w:p>
          <w:p>
            <w:pPr>
              <w:adjustRightInd w:val="0"/>
              <w:snapToGrid w:val="0"/>
              <w:rPr>
                <w:rFonts w:ascii="宋体" w:hAnsi="宋体" w:cs="宋体"/>
                <w:color w:val="auto"/>
                <w:sz w:val="21"/>
                <w:szCs w:val="21"/>
                <w:highlight w:val="none"/>
              </w:rPr>
            </w:pPr>
          </w:p>
        </w:tc>
        <w:tc>
          <w:tcPr>
            <w:tcW w:w="2360" w:type="dxa"/>
            <w:vMerge w:val="restart"/>
            <w:vAlign w:val="center"/>
          </w:tcPr>
          <w:p>
            <w:pPr>
              <w:adjustRightInd w:val="0"/>
              <w:snapToGrid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提供代理机构在重庆市政府采购网代理项目结果公告截图，</w:t>
            </w:r>
            <w:r>
              <w:rPr>
                <w:rFonts w:hint="eastAsia" w:ascii="宋体" w:hAnsi="宋体" w:cs="宋体"/>
                <w:color w:val="auto"/>
                <w:sz w:val="21"/>
                <w:szCs w:val="21"/>
                <w:highlight w:val="none"/>
                <w:lang w:val="en-US" w:eastAsia="zh-CN"/>
              </w:rPr>
              <w:t>并提供统计汇总表（内容包括：采购项目号，预算金额，采购人名称等相关信息），</w:t>
            </w:r>
            <w:r>
              <w:rPr>
                <w:rFonts w:hint="eastAsia" w:ascii="宋体" w:hAnsi="宋体" w:cs="宋体"/>
                <w:color w:val="auto"/>
                <w:sz w:val="21"/>
                <w:szCs w:val="21"/>
                <w:highlight w:val="none"/>
              </w:rPr>
              <w:t>并加盖投标人公章。</w:t>
            </w:r>
          </w:p>
          <w:p>
            <w:pPr>
              <w:adjustRightInd w:val="0"/>
              <w:snapToGrid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25" w:type="dxa"/>
            <w:vMerge w:val="continue"/>
            <w:vAlign w:val="center"/>
          </w:tcPr>
          <w:p>
            <w:pPr>
              <w:adjustRightInd w:val="0"/>
              <w:snapToGrid w:val="0"/>
              <w:rPr>
                <w:color w:val="auto"/>
                <w:highlight w:val="none"/>
              </w:rPr>
            </w:pPr>
          </w:p>
        </w:tc>
        <w:tc>
          <w:tcPr>
            <w:tcW w:w="851" w:type="dxa"/>
            <w:vMerge w:val="continue"/>
            <w:vAlign w:val="center"/>
          </w:tcPr>
          <w:p>
            <w:pPr>
              <w:adjustRightInd w:val="0"/>
              <w:snapToGrid w:val="0"/>
              <w:rPr>
                <w:color w:val="auto"/>
                <w:highlight w:val="none"/>
              </w:rPr>
            </w:pPr>
          </w:p>
        </w:tc>
        <w:tc>
          <w:tcPr>
            <w:tcW w:w="851" w:type="dxa"/>
            <w:vMerge w:val="continue"/>
            <w:vAlign w:val="center"/>
          </w:tcPr>
          <w:p>
            <w:pPr>
              <w:adjustRightInd w:val="0"/>
              <w:snapToGrid w:val="0"/>
              <w:rPr>
                <w:color w:val="auto"/>
                <w:highlight w:val="none"/>
              </w:rPr>
            </w:pPr>
          </w:p>
        </w:tc>
        <w:tc>
          <w:tcPr>
            <w:tcW w:w="1171" w:type="dxa"/>
            <w:vMerge w:val="continue"/>
            <w:vAlign w:val="center"/>
          </w:tcPr>
          <w:p>
            <w:pPr>
              <w:adjustRightInd w:val="0"/>
              <w:snapToGrid w:val="0"/>
              <w:rPr>
                <w:color w:val="auto"/>
                <w:highlight w:val="none"/>
              </w:rPr>
            </w:pPr>
          </w:p>
        </w:tc>
        <w:tc>
          <w:tcPr>
            <w:tcW w:w="3827" w:type="dxa"/>
            <w:vAlign w:val="center"/>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（2）自2022年以来，</w:t>
            </w:r>
            <w:r>
              <w:rPr>
                <w:rFonts w:hint="eastAsia" w:ascii="宋体" w:hAnsi="宋体" w:cs="宋体"/>
                <w:color w:val="auto"/>
                <w:sz w:val="21"/>
                <w:szCs w:val="21"/>
                <w:highlight w:val="none"/>
                <w:lang w:val="en-US" w:eastAsia="zh-CN"/>
              </w:rPr>
              <w:t>代理机构所</w:t>
            </w:r>
            <w:r>
              <w:rPr>
                <w:rFonts w:hint="eastAsia" w:ascii="宋体" w:hAnsi="宋体" w:cs="宋体"/>
                <w:color w:val="auto"/>
                <w:sz w:val="21"/>
                <w:szCs w:val="21"/>
                <w:highlight w:val="none"/>
              </w:rPr>
              <w:t>代理政府采购项目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单次预算金额50万以上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的不同</w:t>
            </w:r>
            <w:r>
              <w:rPr>
                <w:rFonts w:hint="eastAsia" w:ascii="宋体" w:hAnsi="宋体" w:cs="宋体"/>
                <w:color w:val="auto"/>
                <w:sz w:val="21"/>
                <w:szCs w:val="21"/>
                <w:highlight w:val="none"/>
              </w:rPr>
              <w:t>采购人个数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每提供一个</w:t>
            </w:r>
            <w:r>
              <w:rPr>
                <w:rFonts w:hint="eastAsia" w:ascii="宋体" w:hAnsi="宋体" w:cs="宋体"/>
                <w:color w:val="auto"/>
                <w:sz w:val="21"/>
                <w:szCs w:val="21"/>
                <w:highlight w:val="none"/>
                <w:lang w:val="en-US" w:eastAsia="zh-CN"/>
              </w:rPr>
              <w:t>不同采购人代理业务项的</w:t>
            </w:r>
            <w:r>
              <w:rPr>
                <w:rFonts w:hint="eastAsia" w:ascii="宋体" w:hAnsi="宋体" w:cs="宋体"/>
                <w:color w:val="auto"/>
                <w:sz w:val="21"/>
                <w:szCs w:val="21"/>
                <w:highlight w:val="none"/>
              </w:rPr>
              <w:t>得0.5分，最多不超过10分。</w:t>
            </w:r>
          </w:p>
          <w:p>
            <w:pPr>
              <w:adjustRightInd w:val="0"/>
              <w:snapToGrid w:val="0"/>
              <w:rPr>
                <w:rFonts w:ascii="宋体" w:hAnsi="宋体" w:cs="宋体"/>
                <w:color w:val="auto"/>
                <w:sz w:val="21"/>
                <w:szCs w:val="21"/>
                <w:highlight w:val="none"/>
              </w:rPr>
            </w:pPr>
          </w:p>
        </w:tc>
        <w:tc>
          <w:tcPr>
            <w:tcW w:w="2360" w:type="dxa"/>
            <w:vMerge w:val="continue"/>
            <w:vAlign w:val="center"/>
          </w:tcPr>
          <w:p>
            <w:pPr>
              <w:adjustRightInd w:val="0"/>
              <w:snapToGrid w:val="0"/>
              <w:rPr>
                <w:rFonts w:ascii="宋体" w:hAnsi="宋体" w:cs="宋体"/>
                <w:color w:val="auto"/>
                <w:sz w:val="21"/>
                <w:szCs w:val="21"/>
                <w:highlight w:val="none"/>
              </w:rPr>
            </w:pPr>
          </w:p>
        </w:tc>
      </w:tr>
    </w:tbl>
    <w:p>
      <w:pPr>
        <w:snapToGrid w:val="0"/>
        <w:ind w:firstLine="422" w:firstLineChars="150"/>
        <w:rPr>
          <w:rFonts w:ascii="宋体" w:hAnsi="宋体" w:cs="方正仿宋_GBK"/>
          <w:b/>
          <w:color w:val="auto"/>
          <w:sz w:val="28"/>
          <w:szCs w:val="28"/>
          <w:highlight w:val="none"/>
        </w:rPr>
      </w:pPr>
    </w:p>
    <w:p>
      <w:pPr>
        <w:pStyle w:val="18"/>
        <w:jc w:val="left"/>
        <w:rPr>
          <w:rFonts w:hint="default" w:eastAsia="宋体"/>
          <w:color w:val="auto"/>
          <w:highlight w:val="none"/>
          <w:lang w:val="en-US" w:eastAsia="zh-CN"/>
        </w:rPr>
      </w:pPr>
      <w:r>
        <w:rPr>
          <w:rFonts w:hint="eastAsia" w:ascii="宋体" w:hAnsi="宋体" w:cs="方正仿宋_GBK"/>
          <w:b/>
          <w:color w:val="auto"/>
          <w:sz w:val="28"/>
          <w:szCs w:val="28"/>
          <w:highlight w:val="none"/>
          <w:lang w:val="en-US" w:eastAsia="zh-CN"/>
        </w:rPr>
        <w:t>分包二：</w:t>
      </w:r>
    </w:p>
    <w:tbl>
      <w:tblPr>
        <w:tblStyle w:val="21"/>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51"/>
        <w:gridCol w:w="851"/>
        <w:gridCol w:w="1171"/>
        <w:gridCol w:w="3827"/>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vAlign w:val="center"/>
          </w:tcPr>
          <w:p>
            <w:pPr>
              <w:adjustRightInd w:val="0"/>
              <w:snapToGrid w:val="0"/>
              <w:ind w:firstLine="28"/>
              <w:jc w:val="center"/>
              <w:rPr>
                <w:rFonts w:ascii="宋体" w:hAnsi="宋体" w:eastAsia="宋体" w:cs="方正仿宋_GBK"/>
                <w:b/>
                <w:color w:val="auto"/>
                <w:kern w:val="0"/>
                <w:sz w:val="24"/>
                <w:highlight w:val="none"/>
              </w:rPr>
            </w:pPr>
            <w:r>
              <w:rPr>
                <w:rFonts w:hint="eastAsia" w:ascii="宋体" w:hAnsi="宋体" w:eastAsia="宋体" w:cs="方正仿宋_GBK"/>
                <w:b/>
                <w:color w:val="auto"/>
                <w:kern w:val="0"/>
                <w:sz w:val="24"/>
                <w:highlight w:val="none"/>
              </w:rPr>
              <w:t>序号</w:t>
            </w:r>
          </w:p>
        </w:tc>
        <w:tc>
          <w:tcPr>
            <w:tcW w:w="851" w:type="dxa"/>
            <w:vAlign w:val="center"/>
          </w:tcPr>
          <w:p>
            <w:pPr>
              <w:adjustRightInd w:val="0"/>
              <w:snapToGrid w:val="0"/>
              <w:ind w:firstLine="28"/>
              <w:jc w:val="center"/>
              <w:rPr>
                <w:rFonts w:ascii="宋体" w:hAnsi="宋体" w:eastAsia="宋体" w:cs="方正仿宋_GBK"/>
                <w:b/>
                <w:color w:val="auto"/>
                <w:kern w:val="0"/>
                <w:sz w:val="24"/>
                <w:highlight w:val="none"/>
              </w:rPr>
            </w:pPr>
            <w:r>
              <w:rPr>
                <w:rFonts w:hint="eastAsia" w:ascii="宋体" w:hAnsi="宋体" w:eastAsia="宋体" w:cs="方正仿宋_GBK"/>
                <w:b/>
                <w:color w:val="auto"/>
                <w:kern w:val="0"/>
                <w:sz w:val="24"/>
                <w:highlight w:val="none"/>
              </w:rPr>
              <w:t>评审</w:t>
            </w:r>
          </w:p>
          <w:p>
            <w:pPr>
              <w:adjustRightInd w:val="0"/>
              <w:snapToGrid w:val="0"/>
              <w:ind w:firstLine="28"/>
              <w:jc w:val="center"/>
              <w:rPr>
                <w:rFonts w:ascii="宋体" w:hAnsi="宋体" w:eastAsia="宋体" w:cs="方正仿宋_GBK"/>
                <w:b/>
                <w:color w:val="auto"/>
                <w:kern w:val="0"/>
                <w:sz w:val="24"/>
                <w:highlight w:val="none"/>
              </w:rPr>
            </w:pPr>
            <w:r>
              <w:rPr>
                <w:rFonts w:hint="eastAsia" w:ascii="宋体" w:hAnsi="宋体" w:eastAsia="宋体" w:cs="方正仿宋_GBK"/>
                <w:b/>
                <w:color w:val="auto"/>
                <w:kern w:val="0"/>
                <w:sz w:val="24"/>
                <w:highlight w:val="none"/>
              </w:rPr>
              <w:t>项目</w:t>
            </w:r>
          </w:p>
        </w:tc>
        <w:tc>
          <w:tcPr>
            <w:tcW w:w="851" w:type="dxa"/>
            <w:vAlign w:val="center"/>
          </w:tcPr>
          <w:p>
            <w:pPr>
              <w:adjustRightInd w:val="0"/>
              <w:snapToGrid w:val="0"/>
              <w:jc w:val="center"/>
              <w:rPr>
                <w:rFonts w:ascii="宋体" w:hAnsi="宋体" w:eastAsia="宋体" w:cs="方正仿宋_GBK"/>
                <w:b/>
                <w:color w:val="auto"/>
                <w:kern w:val="0"/>
                <w:sz w:val="24"/>
                <w:highlight w:val="none"/>
              </w:rPr>
            </w:pPr>
            <w:r>
              <w:rPr>
                <w:rFonts w:hint="eastAsia" w:ascii="宋体" w:hAnsi="宋体" w:eastAsia="宋体" w:cs="方正仿宋_GBK"/>
                <w:b/>
                <w:color w:val="auto"/>
                <w:kern w:val="0"/>
                <w:sz w:val="24"/>
                <w:highlight w:val="none"/>
              </w:rPr>
              <w:t>评分因素</w:t>
            </w:r>
          </w:p>
        </w:tc>
        <w:tc>
          <w:tcPr>
            <w:tcW w:w="1171" w:type="dxa"/>
            <w:vAlign w:val="center"/>
          </w:tcPr>
          <w:p>
            <w:pPr>
              <w:adjustRightInd w:val="0"/>
              <w:snapToGrid w:val="0"/>
              <w:jc w:val="center"/>
              <w:rPr>
                <w:rFonts w:ascii="宋体" w:hAnsi="宋体" w:eastAsia="宋体" w:cs="方正仿宋_GBK"/>
                <w:b/>
                <w:color w:val="auto"/>
                <w:kern w:val="0"/>
                <w:sz w:val="24"/>
                <w:highlight w:val="none"/>
              </w:rPr>
            </w:pPr>
            <w:r>
              <w:rPr>
                <w:rFonts w:hint="eastAsia" w:ascii="宋体" w:hAnsi="宋体" w:eastAsia="宋体" w:cs="方正仿宋_GBK"/>
                <w:b/>
                <w:color w:val="auto"/>
                <w:kern w:val="0"/>
                <w:sz w:val="24"/>
                <w:highlight w:val="none"/>
              </w:rPr>
              <w:t>分值</w:t>
            </w:r>
          </w:p>
        </w:tc>
        <w:tc>
          <w:tcPr>
            <w:tcW w:w="3827" w:type="dxa"/>
            <w:vAlign w:val="center"/>
          </w:tcPr>
          <w:p>
            <w:pPr>
              <w:adjustRightInd w:val="0"/>
              <w:snapToGrid w:val="0"/>
              <w:ind w:firstLine="28"/>
              <w:jc w:val="center"/>
              <w:rPr>
                <w:rFonts w:ascii="宋体" w:hAnsi="宋体" w:eastAsia="宋体" w:cs="方正仿宋_GBK"/>
                <w:b/>
                <w:color w:val="auto"/>
                <w:kern w:val="0"/>
                <w:sz w:val="24"/>
                <w:highlight w:val="none"/>
              </w:rPr>
            </w:pPr>
            <w:r>
              <w:rPr>
                <w:rFonts w:hint="eastAsia" w:ascii="宋体" w:hAnsi="宋体" w:eastAsia="宋体" w:cs="方正仿宋_GBK"/>
                <w:b/>
                <w:color w:val="auto"/>
                <w:kern w:val="0"/>
                <w:sz w:val="24"/>
                <w:highlight w:val="none"/>
              </w:rPr>
              <w:t>评分标准</w:t>
            </w:r>
          </w:p>
        </w:tc>
        <w:tc>
          <w:tcPr>
            <w:tcW w:w="2360" w:type="dxa"/>
            <w:vAlign w:val="center"/>
          </w:tcPr>
          <w:p>
            <w:pPr>
              <w:widowControl w:val="0"/>
              <w:adjustRightInd w:val="0"/>
              <w:snapToGrid w:val="0"/>
              <w:spacing w:before="0" w:after="0" w:line="240" w:lineRule="auto"/>
              <w:jc w:val="center"/>
              <w:rPr>
                <w:rFonts w:ascii="宋体" w:hAnsi="宋体" w:eastAsia="宋体" w:cs="方正仿宋_GBK"/>
                <w:b/>
                <w:color w:val="auto"/>
                <w:kern w:val="2"/>
                <w:sz w:val="24"/>
                <w:szCs w:val="24"/>
                <w:highlight w:val="none"/>
                <w:lang w:val="en-US" w:eastAsia="zh-CN" w:bidi="ar-SA"/>
              </w:rPr>
            </w:pPr>
            <w:r>
              <w:rPr>
                <w:rFonts w:hint="eastAsia" w:ascii="宋体" w:hAnsi="宋体" w:eastAsia="宋体" w:cs="方正仿宋_GBK"/>
                <w:b/>
                <w:color w:val="auto"/>
                <w:kern w:val="2"/>
                <w:sz w:val="24"/>
                <w:szCs w:val="24"/>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ind w:firstLine="28" w:firstLineChars="0"/>
              <w:jc w:val="center"/>
              <w:rPr>
                <w:rFonts w:hint="eastAsia" w:ascii="宋体" w:hAnsi="宋体" w:eastAsia="宋体" w:cs="方正仿宋_GBK"/>
                <w:b/>
                <w:color w:val="auto"/>
                <w:kern w:val="0"/>
                <w:sz w:val="24"/>
                <w:highlight w:val="none"/>
              </w:rPr>
            </w:pPr>
            <w:r>
              <w:rPr>
                <w:rFonts w:hint="eastAsia" w:ascii="宋体" w:hAnsi="宋体" w:eastAsia="宋体" w:cs="方正仿宋_GBK"/>
                <w:color w:val="auto"/>
                <w:kern w:val="0"/>
                <w:sz w:val="21"/>
                <w:szCs w:val="21"/>
                <w:highlight w:val="none"/>
                <w:lang w:val="en-US" w:eastAsia="zh-CN"/>
              </w:rPr>
              <w:t>1</w:t>
            </w:r>
          </w:p>
        </w:tc>
        <w:tc>
          <w:tcPr>
            <w:tcW w:w="851" w:type="dxa"/>
            <w:vAlign w:val="center"/>
          </w:tcPr>
          <w:p>
            <w:pPr>
              <w:adjustRightInd w:val="0"/>
              <w:snapToGrid w:val="0"/>
              <w:ind w:firstLine="28" w:firstLineChars="0"/>
              <w:jc w:val="center"/>
              <w:rPr>
                <w:rFonts w:hint="eastAsia" w:ascii="宋体" w:hAnsi="宋体" w:eastAsia="宋体" w:cs="方正仿宋_GBK"/>
                <w:b/>
                <w:color w:val="auto"/>
                <w:kern w:val="0"/>
                <w:sz w:val="24"/>
                <w:highlight w:val="none"/>
              </w:rPr>
            </w:pPr>
            <w:r>
              <w:rPr>
                <w:rFonts w:hint="eastAsia" w:ascii="宋体" w:hAnsi="宋体" w:eastAsia="宋体" w:cs="方正仿宋_GBK"/>
                <w:color w:val="auto"/>
                <w:kern w:val="0"/>
                <w:sz w:val="21"/>
                <w:szCs w:val="21"/>
                <w:highlight w:val="none"/>
                <w:lang w:val="en-US" w:eastAsia="zh-CN"/>
              </w:rPr>
              <w:t>投标报价（10%）</w:t>
            </w:r>
          </w:p>
        </w:tc>
        <w:tc>
          <w:tcPr>
            <w:tcW w:w="851" w:type="dxa"/>
            <w:vAlign w:val="center"/>
          </w:tcPr>
          <w:p>
            <w:pPr>
              <w:adjustRightInd w:val="0"/>
              <w:snapToGrid w:val="0"/>
              <w:ind w:firstLine="28" w:firstLineChars="0"/>
              <w:jc w:val="center"/>
              <w:rPr>
                <w:rFonts w:hint="eastAsia" w:ascii="宋体" w:hAnsi="宋体" w:eastAsia="宋体" w:cs="方正仿宋_GBK"/>
                <w:b/>
                <w:color w:val="auto"/>
                <w:kern w:val="0"/>
                <w:sz w:val="24"/>
                <w:highlight w:val="none"/>
              </w:rPr>
            </w:pPr>
            <w:r>
              <w:rPr>
                <w:rFonts w:hint="eastAsia" w:ascii="宋体" w:hAnsi="宋体" w:eastAsia="宋体" w:cs="方正仿宋_GBK"/>
                <w:color w:val="auto"/>
                <w:kern w:val="0"/>
                <w:sz w:val="21"/>
                <w:szCs w:val="21"/>
                <w:highlight w:val="none"/>
                <w:lang w:val="en-US" w:eastAsia="zh-CN"/>
              </w:rPr>
              <w:t>折扣率</w:t>
            </w:r>
          </w:p>
        </w:tc>
        <w:tc>
          <w:tcPr>
            <w:tcW w:w="1171" w:type="dxa"/>
            <w:vAlign w:val="center"/>
          </w:tcPr>
          <w:p>
            <w:pPr>
              <w:adjustRightInd w:val="0"/>
              <w:snapToGrid w:val="0"/>
              <w:ind w:firstLine="28" w:firstLineChars="0"/>
              <w:jc w:val="center"/>
              <w:rPr>
                <w:rFonts w:hint="eastAsia" w:ascii="宋体" w:hAnsi="宋体" w:eastAsia="宋体" w:cs="方正仿宋_GBK"/>
                <w:b/>
                <w:color w:val="auto"/>
                <w:kern w:val="0"/>
                <w:sz w:val="24"/>
                <w:highlight w:val="none"/>
              </w:rPr>
            </w:pPr>
            <w:r>
              <w:rPr>
                <w:rFonts w:hint="eastAsia" w:ascii="宋体" w:hAnsi="宋体" w:eastAsia="宋体" w:cs="方正仿宋_GBK"/>
                <w:color w:val="auto"/>
                <w:kern w:val="0"/>
                <w:sz w:val="21"/>
                <w:szCs w:val="21"/>
                <w:highlight w:val="none"/>
                <w:lang w:val="en-US" w:eastAsia="zh-CN"/>
              </w:rPr>
              <w:t>10分</w:t>
            </w:r>
          </w:p>
        </w:tc>
        <w:tc>
          <w:tcPr>
            <w:tcW w:w="3827" w:type="dxa"/>
            <w:vAlign w:val="center"/>
          </w:tcPr>
          <w:p>
            <w:pPr>
              <w:adjustRightInd w:val="0"/>
              <w:snapToGrid w:val="0"/>
              <w:ind w:firstLine="28" w:firstLineChars="0"/>
              <w:jc w:val="both"/>
              <w:rPr>
                <w:rFonts w:hint="eastAsia" w:ascii="宋体" w:hAnsi="宋体" w:eastAsia="宋体" w:cs="方正仿宋_GBK"/>
                <w:b/>
                <w:color w:val="auto"/>
                <w:kern w:val="0"/>
                <w:sz w:val="24"/>
                <w:highlight w:val="none"/>
              </w:rPr>
            </w:pPr>
            <w:r>
              <w:rPr>
                <w:rFonts w:hint="eastAsia" w:ascii="宋体" w:hAnsi="宋体" w:eastAsia="宋体" w:cs="方正仿宋_GBK"/>
                <w:color w:val="auto"/>
                <w:kern w:val="0"/>
                <w:sz w:val="21"/>
                <w:szCs w:val="21"/>
                <w:highlight w:val="none"/>
              </w:rPr>
              <w:t>有效的投标报价中的最低价为评标基准价，其价格分为满分。其他投标人的价格分统一按照下列公式计算：投标报价得分＝（评标基准价/投标报价）×价格权重×100。</w:t>
            </w:r>
          </w:p>
        </w:tc>
        <w:tc>
          <w:tcPr>
            <w:tcW w:w="2360" w:type="dxa"/>
            <w:vAlign w:val="center"/>
          </w:tcPr>
          <w:p>
            <w:pPr>
              <w:ind w:firstLine="28" w:firstLineChars="0"/>
              <w:jc w:val="center"/>
              <w:rPr>
                <w:rFonts w:hint="eastAsia" w:ascii="宋体" w:hAnsi="宋体" w:eastAsia="宋体"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425" w:type="dxa"/>
            <w:vAlign w:val="center"/>
          </w:tcPr>
          <w:p>
            <w:pPr>
              <w:ind w:firstLine="28"/>
              <w:jc w:val="center"/>
              <w:rPr>
                <w:rFonts w:hint="eastAsia" w:ascii="宋体" w:hAnsi="宋体" w:eastAsia="宋体" w:cs="方正仿宋_GBK"/>
                <w:color w:val="auto"/>
                <w:kern w:val="0"/>
                <w:sz w:val="21"/>
                <w:szCs w:val="21"/>
                <w:highlight w:val="none"/>
                <w:lang w:eastAsia="zh-CN"/>
              </w:rPr>
            </w:pPr>
            <w:r>
              <w:rPr>
                <w:rFonts w:hint="eastAsia" w:ascii="宋体" w:hAnsi="宋体" w:eastAsia="宋体" w:cs="方正仿宋_GBK"/>
                <w:color w:val="auto"/>
                <w:kern w:val="0"/>
                <w:sz w:val="21"/>
                <w:szCs w:val="21"/>
                <w:highlight w:val="none"/>
                <w:lang w:val="en-US" w:eastAsia="zh-CN"/>
              </w:rPr>
              <w:t>2</w:t>
            </w:r>
          </w:p>
        </w:tc>
        <w:tc>
          <w:tcPr>
            <w:tcW w:w="851" w:type="dxa"/>
            <w:vAlign w:val="center"/>
          </w:tcPr>
          <w:p>
            <w:pPr>
              <w:adjustRightInd w:val="0"/>
              <w:snapToGrid w:val="0"/>
              <w:ind w:firstLine="28"/>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服务要求</w:t>
            </w:r>
          </w:p>
          <w:p>
            <w:pPr>
              <w:adjustRightInd w:val="0"/>
              <w:snapToGrid w:val="0"/>
              <w:ind w:firstLine="28"/>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lang w:val="en-US" w:eastAsia="zh-CN"/>
              </w:rPr>
              <w:t>5</w:t>
            </w:r>
            <w:r>
              <w:rPr>
                <w:rFonts w:hint="eastAsia" w:ascii="宋体" w:hAnsi="宋体" w:eastAsia="宋体" w:cs="方正仿宋_GBK"/>
                <w:color w:val="auto"/>
                <w:kern w:val="0"/>
                <w:sz w:val="21"/>
                <w:szCs w:val="21"/>
                <w:highlight w:val="none"/>
              </w:rPr>
              <w:t>0%</w:t>
            </w:r>
          </w:p>
        </w:tc>
        <w:tc>
          <w:tcPr>
            <w:tcW w:w="851" w:type="dxa"/>
            <w:vAlign w:val="center"/>
          </w:tcPr>
          <w:p>
            <w:pPr>
              <w:adjustRightInd w:val="0"/>
              <w:snapToGrid w:val="0"/>
              <w:ind w:firstLine="28"/>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服务方案</w:t>
            </w:r>
          </w:p>
        </w:tc>
        <w:tc>
          <w:tcPr>
            <w:tcW w:w="1171" w:type="dxa"/>
            <w:vAlign w:val="center"/>
          </w:tcPr>
          <w:p>
            <w:pPr>
              <w:ind w:firstLine="28"/>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lang w:val="en-US" w:eastAsia="zh-CN"/>
              </w:rPr>
              <w:t>5</w:t>
            </w:r>
            <w:r>
              <w:rPr>
                <w:rFonts w:hint="eastAsia" w:ascii="宋体" w:hAnsi="宋体" w:eastAsia="宋体" w:cs="方正仿宋_GBK"/>
                <w:color w:val="auto"/>
                <w:kern w:val="0"/>
                <w:sz w:val="21"/>
                <w:szCs w:val="21"/>
                <w:highlight w:val="none"/>
              </w:rPr>
              <w:t>0分</w:t>
            </w:r>
          </w:p>
        </w:tc>
        <w:tc>
          <w:tcPr>
            <w:tcW w:w="3827" w:type="dxa"/>
            <w:vAlign w:val="center"/>
          </w:tcPr>
          <w:p>
            <w:pPr>
              <w:numPr>
                <w:ilvl w:val="0"/>
                <w:numId w:val="9"/>
              </w:numPr>
              <w:adjustRightInd w:val="0"/>
              <w:snapToGrid w:val="0"/>
              <w:rPr>
                <w:rFonts w:hint="eastAsia" w:ascii="Times New Roman" w:hAnsi="Times New Roman" w:eastAsia="宋体" w:cs="Times New Roman"/>
                <w:color w:val="auto"/>
                <w:sz w:val="21"/>
                <w:szCs w:val="24"/>
                <w:highlight w:val="none"/>
                <w:lang w:val="en-US" w:eastAsia="zh-CN" w:bidi="ar-SA"/>
              </w:rPr>
            </w:pPr>
            <w:r>
              <w:rPr>
                <w:rFonts w:hint="eastAsia" w:ascii="Times New Roman" w:hAnsi="Times New Roman" w:eastAsia="宋体" w:cs="Times New Roman"/>
                <w:color w:val="auto"/>
                <w:sz w:val="21"/>
                <w:szCs w:val="24"/>
                <w:highlight w:val="none"/>
                <w:lang w:val="en-US" w:eastAsia="zh-CN" w:bidi="ar-SA"/>
              </w:rPr>
              <w:t>政策熟悉度10分</w:t>
            </w:r>
          </w:p>
          <w:p>
            <w:pPr>
              <w:pStyle w:val="18"/>
              <w:jc w:val="both"/>
              <w:rPr>
                <w:color w:val="auto"/>
                <w:highlight w:val="none"/>
              </w:rPr>
            </w:pPr>
            <w:r>
              <w:rPr>
                <w:rFonts w:hint="eastAsia"/>
                <w:color w:val="auto"/>
                <w:highlight w:val="none"/>
              </w:rPr>
              <w:t>能够正确理解各类</w:t>
            </w:r>
            <w:r>
              <w:rPr>
                <w:rFonts w:hint="eastAsia"/>
                <w:color w:val="auto"/>
                <w:highlight w:val="none"/>
                <w:lang w:val="en-US" w:eastAsia="zh-CN"/>
              </w:rPr>
              <w:t>招标</w:t>
            </w:r>
            <w:r>
              <w:rPr>
                <w:rFonts w:hint="eastAsia"/>
                <w:color w:val="auto"/>
                <w:highlight w:val="none"/>
              </w:rPr>
              <w:t>方式及其适用情形，提供对各类</w:t>
            </w:r>
            <w:r>
              <w:rPr>
                <w:rFonts w:hint="eastAsia"/>
                <w:color w:val="auto"/>
                <w:highlight w:val="none"/>
                <w:lang w:val="en-US" w:eastAsia="zh-CN"/>
              </w:rPr>
              <w:t>招标</w:t>
            </w:r>
            <w:r>
              <w:rPr>
                <w:rFonts w:hint="eastAsia"/>
                <w:color w:val="auto"/>
                <w:highlight w:val="none"/>
              </w:rPr>
              <w:t>方式的政策理解及解读方案。从提供内容完整度、条理清晰度、解读内容合理合规有理有据、逻辑清晰等方面进行横向比较，优得10分，良得7分，一般得4分，差得1分，所提供内容与相关法律法规相悖或者未提供的不得分。</w:t>
            </w:r>
          </w:p>
          <w:p>
            <w:pPr>
              <w:pStyle w:val="18"/>
              <w:numPr>
                <w:ilvl w:val="0"/>
                <w:numId w:val="9"/>
              </w:numPr>
              <w:jc w:val="both"/>
              <w:rPr>
                <w:color w:val="auto"/>
                <w:highlight w:val="none"/>
              </w:rPr>
            </w:pPr>
            <w:r>
              <w:rPr>
                <w:rFonts w:hint="eastAsia"/>
                <w:color w:val="auto"/>
                <w:highlight w:val="none"/>
                <w:lang w:val="en-US" w:eastAsia="zh-CN"/>
              </w:rPr>
              <w:t>招标</w:t>
            </w:r>
            <w:r>
              <w:rPr>
                <w:rFonts w:hint="eastAsia"/>
                <w:color w:val="auto"/>
                <w:highlight w:val="none"/>
              </w:rPr>
              <w:t>代理服务方案</w:t>
            </w:r>
            <w:r>
              <w:rPr>
                <w:rFonts w:hint="eastAsia"/>
                <w:color w:val="auto"/>
                <w:highlight w:val="none"/>
                <w:lang w:val="en-US" w:eastAsia="zh-CN"/>
              </w:rPr>
              <w:t>24</w:t>
            </w:r>
            <w:r>
              <w:rPr>
                <w:rFonts w:hint="eastAsia"/>
                <w:color w:val="auto"/>
                <w:highlight w:val="none"/>
              </w:rPr>
              <w:t>分</w:t>
            </w:r>
            <w:r>
              <w:rPr>
                <w:rFonts w:hint="eastAsia"/>
                <w:color w:val="auto"/>
                <w:highlight w:val="none"/>
                <w:lang w:val="en-US" w:eastAsia="zh-CN"/>
              </w:rPr>
              <w:t xml:space="preserve">      </w:t>
            </w:r>
          </w:p>
          <w:p>
            <w:pPr>
              <w:pStyle w:val="18"/>
              <w:numPr>
                <w:ilvl w:val="0"/>
                <w:numId w:val="10"/>
              </w:numPr>
              <w:jc w:val="both"/>
              <w:rPr>
                <w:color w:val="auto"/>
                <w:highlight w:val="none"/>
              </w:rPr>
            </w:pPr>
            <w:r>
              <w:rPr>
                <w:rFonts w:hint="eastAsia"/>
                <w:color w:val="auto"/>
                <w:highlight w:val="none"/>
              </w:rPr>
              <w:t>提供</w:t>
            </w:r>
            <w:r>
              <w:rPr>
                <w:rFonts w:hint="eastAsia"/>
                <w:color w:val="auto"/>
                <w:highlight w:val="none"/>
                <w:lang w:val="en-US" w:eastAsia="zh-CN"/>
              </w:rPr>
              <w:t>招标</w:t>
            </w:r>
            <w:r>
              <w:rPr>
                <w:rFonts w:hint="eastAsia"/>
                <w:color w:val="auto"/>
                <w:highlight w:val="none"/>
              </w:rPr>
              <w:t>代理的</w:t>
            </w:r>
            <w:r>
              <w:rPr>
                <w:rFonts w:hint="eastAsia"/>
                <w:color w:val="auto"/>
                <w:highlight w:val="none"/>
                <w:lang w:val="en-US" w:eastAsia="zh-CN"/>
              </w:rPr>
              <w:t>工作</w:t>
            </w:r>
            <w:r>
              <w:rPr>
                <w:rFonts w:hint="eastAsia"/>
                <w:color w:val="auto"/>
                <w:highlight w:val="none"/>
              </w:rPr>
              <w:t>流程图及关键工作的保障安排，包括但不限于招标、投标、开标、评标等内容。从服务方案内容全面、符合</w:t>
            </w:r>
            <w:r>
              <w:rPr>
                <w:rFonts w:hint="eastAsia"/>
                <w:color w:val="auto"/>
                <w:highlight w:val="none"/>
                <w:lang w:val="en-US" w:eastAsia="zh-CN"/>
              </w:rPr>
              <w:t>招投标法、招投标实施条例、</w:t>
            </w:r>
            <w:r>
              <w:rPr>
                <w:rFonts w:hint="eastAsia"/>
                <w:color w:val="auto"/>
                <w:highlight w:val="none"/>
              </w:rPr>
              <w:t>政府采购</w:t>
            </w:r>
            <w:r>
              <w:rPr>
                <w:rFonts w:hint="eastAsia"/>
                <w:color w:val="auto"/>
                <w:highlight w:val="none"/>
                <w:lang w:val="en-US" w:eastAsia="zh-CN"/>
              </w:rPr>
              <w:t>法等</w:t>
            </w:r>
            <w:r>
              <w:rPr>
                <w:rFonts w:hint="eastAsia"/>
                <w:color w:val="auto"/>
                <w:highlight w:val="none"/>
              </w:rPr>
              <w:t>相关法律法规、流程控制全面等进行横向比较，优得10分，良得7分，一般得4分，差或未提供的不得分。</w:t>
            </w:r>
          </w:p>
          <w:p>
            <w:pPr>
              <w:pStyle w:val="18"/>
              <w:numPr>
                <w:ilvl w:val="0"/>
                <w:numId w:val="10"/>
              </w:numPr>
              <w:jc w:val="both"/>
              <w:rPr>
                <w:color w:val="auto"/>
                <w:highlight w:val="none"/>
              </w:rPr>
            </w:pPr>
            <w:r>
              <w:rPr>
                <w:rFonts w:hint="eastAsia"/>
                <w:color w:val="auto"/>
                <w:highlight w:val="none"/>
              </w:rPr>
              <w:t>提供采购质量保证措施、保密措施等，优得</w:t>
            </w:r>
            <w:r>
              <w:rPr>
                <w:rFonts w:hint="eastAsia"/>
                <w:color w:val="auto"/>
                <w:highlight w:val="none"/>
                <w:lang w:val="en-US" w:eastAsia="zh-CN"/>
              </w:rPr>
              <w:t>8</w:t>
            </w:r>
            <w:r>
              <w:rPr>
                <w:rFonts w:hint="eastAsia"/>
                <w:color w:val="auto"/>
                <w:highlight w:val="none"/>
              </w:rPr>
              <w:t>分，良得</w:t>
            </w:r>
            <w:r>
              <w:rPr>
                <w:rFonts w:hint="eastAsia"/>
                <w:color w:val="auto"/>
                <w:highlight w:val="none"/>
                <w:lang w:val="en-US" w:eastAsia="zh-CN"/>
              </w:rPr>
              <w:t>6</w:t>
            </w:r>
            <w:r>
              <w:rPr>
                <w:rFonts w:hint="eastAsia"/>
                <w:color w:val="auto"/>
                <w:highlight w:val="none"/>
              </w:rPr>
              <w:t>分，一般得4分，差或未提供不得分。</w:t>
            </w:r>
          </w:p>
          <w:p>
            <w:pPr>
              <w:pStyle w:val="18"/>
              <w:numPr>
                <w:ilvl w:val="0"/>
                <w:numId w:val="10"/>
              </w:numPr>
              <w:jc w:val="both"/>
              <w:rPr>
                <w:color w:val="auto"/>
                <w:highlight w:val="none"/>
              </w:rPr>
            </w:pPr>
            <w:r>
              <w:rPr>
                <w:rFonts w:hint="eastAsia"/>
                <w:color w:val="auto"/>
                <w:highlight w:val="none"/>
              </w:rPr>
              <w:t>提供质疑答复管理措施，优得</w:t>
            </w:r>
            <w:r>
              <w:rPr>
                <w:rFonts w:hint="eastAsia"/>
                <w:color w:val="auto"/>
                <w:highlight w:val="none"/>
                <w:lang w:val="en-US" w:eastAsia="zh-CN"/>
              </w:rPr>
              <w:t>6</w:t>
            </w:r>
            <w:r>
              <w:rPr>
                <w:rFonts w:hint="eastAsia"/>
                <w:color w:val="auto"/>
                <w:highlight w:val="none"/>
              </w:rPr>
              <w:t>分，良</w:t>
            </w:r>
            <w:r>
              <w:rPr>
                <w:rFonts w:hint="eastAsia"/>
                <w:color w:val="auto"/>
                <w:highlight w:val="none"/>
                <w:lang w:val="en-US" w:eastAsia="zh-CN"/>
              </w:rPr>
              <w:t>4</w:t>
            </w:r>
            <w:r>
              <w:rPr>
                <w:rFonts w:hint="eastAsia"/>
                <w:color w:val="auto"/>
                <w:highlight w:val="none"/>
              </w:rPr>
              <w:t>分，一般得</w:t>
            </w:r>
            <w:r>
              <w:rPr>
                <w:rFonts w:hint="eastAsia"/>
                <w:color w:val="auto"/>
                <w:highlight w:val="none"/>
                <w:lang w:val="en-US" w:eastAsia="zh-CN"/>
              </w:rPr>
              <w:t>2</w:t>
            </w:r>
            <w:r>
              <w:rPr>
                <w:rFonts w:hint="eastAsia"/>
                <w:color w:val="auto"/>
                <w:highlight w:val="none"/>
              </w:rPr>
              <w:t>分，差或未提供不得分。</w:t>
            </w:r>
          </w:p>
          <w:p>
            <w:pPr>
              <w:pStyle w:val="18"/>
              <w:numPr>
                <w:ilvl w:val="0"/>
                <w:numId w:val="9"/>
              </w:numPr>
              <w:jc w:val="both"/>
              <w:rPr>
                <w:color w:val="auto"/>
                <w:highlight w:val="none"/>
              </w:rPr>
            </w:pPr>
            <w:r>
              <w:rPr>
                <w:rFonts w:hint="eastAsia"/>
                <w:color w:val="auto"/>
                <w:highlight w:val="none"/>
              </w:rPr>
              <w:t>档案管理方案</w:t>
            </w:r>
            <w:r>
              <w:rPr>
                <w:rFonts w:hint="eastAsia"/>
                <w:color w:val="auto"/>
                <w:highlight w:val="none"/>
                <w:lang w:val="en-US" w:eastAsia="zh-CN"/>
              </w:rPr>
              <w:t>6</w:t>
            </w:r>
            <w:r>
              <w:rPr>
                <w:rFonts w:hint="eastAsia"/>
                <w:color w:val="auto"/>
                <w:highlight w:val="none"/>
              </w:rPr>
              <w:t>分</w:t>
            </w:r>
          </w:p>
          <w:p>
            <w:pPr>
              <w:pStyle w:val="18"/>
              <w:jc w:val="both"/>
              <w:rPr>
                <w:color w:val="auto"/>
                <w:highlight w:val="none"/>
              </w:rPr>
            </w:pPr>
            <w:r>
              <w:rPr>
                <w:rFonts w:hint="eastAsia"/>
                <w:color w:val="auto"/>
                <w:highlight w:val="none"/>
              </w:rPr>
              <w:t>提供</w:t>
            </w:r>
            <w:r>
              <w:rPr>
                <w:rFonts w:hint="eastAsia"/>
                <w:color w:val="auto"/>
                <w:highlight w:val="none"/>
                <w:lang w:val="en-US" w:eastAsia="zh-CN"/>
              </w:rPr>
              <w:t>招标</w:t>
            </w:r>
            <w:r>
              <w:rPr>
                <w:rFonts w:hint="eastAsia"/>
                <w:color w:val="auto"/>
                <w:highlight w:val="none"/>
              </w:rPr>
              <w:t>代理档案管理方案，包括档案收集、归档、入档、档案交付等内容，从响应速度承诺、归档资料完整度、资料保存等方面进行横向比较，优得</w:t>
            </w:r>
            <w:r>
              <w:rPr>
                <w:rFonts w:hint="eastAsia"/>
                <w:color w:val="auto"/>
                <w:highlight w:val="none"/>
                <w:lang w:val="en-US" w:eastAsia="zh-CN"/>
              </w:rPr>
              <w:t>6</w:t>
            </w:r>
            <w:r>
              <w:rPr>
                <w:rFonts w:hint="eastAsia"/>
                <w:color w:val="auto"/>
                <w:highlight w:val="none"/>
              </w:rPr>
              <w:t>分，良得</w:t>
            </w:r>
            <w:r>
              <w:rPr>
                <w:rFonts w:hint="eastAsia"/>
                <w:color w:val="auto"/>
                <w:highlight w:val="none"/>
                <w:lang w:val="en-US" w:eastAsia="zh-CN"/>
              </w:rPr>
              <w:t>4</w:t>
            </w:r>
            <w:r>
              <w:rPr>
                <w:rFonts w:hint="eastAsia"/>
                <w:color w:val="auto"/>
                <w:highlight w:val="none"/>
              </w:rPr>
              <w:t>分，一般得</w:t>
            </w:r>
            <w:r>
              <w:rPr>
                <w:rFonts w:hint="eastAsia"/>
                <w:color w:val="auto"/>
                <w:highlight w:val="none"/>
                <w:lang w:val="en-US" w:eastAsia="zh-CN"/>
              </w:rPr>
              <w:t>2</w:t>
            </w:r>
            <w:r>
              <w:rPr>
                <w:rFonts w:hint="eastAsia"/>
                <w:color w:val="auto"/>
                <w:highlight w:val="none"/>
              </w:rPr>
              <w:t xml:space="preserve">分，差或不提供不得分。 </w:t>
            </w:r>
          </w:p>
          <w:p>
            <w:pPr>
              <w:pStyle w:val="18"/>
              <w:numPr>
                <w:ilvl w:val="0"/>
                <w:numId w:val="9"/>
              </w:numPr>
              <w:jc w:val="both"/>
              <w:rPr>
                <w:color w:val="auto"/>
                <w:highlight w:val="none"/>
              </w:rPr>
            </w:pPr>
            <w:r>
              <w:rPr>
                <w:rFonts w:hint="eastAsia"/>
                <w:color w:val="auto"/>
                <w:highlight w:val="none"/>
              </w:rPr>
              <w:t>其他咨询服务10分</w:t>
            </w:r>
          </w:p>
          <w:p>
            <w:pPr>
              <w:adjustRightInd w:val="0"/>
              <w:snapToGrid w:val="0"/>
              <w:rPr>
                <w:rFonts w:ascii="宋体" w:hAnsi="宋体" w:eastAsia="宋体" w:cs="方正仿宋_GBK"/>
                <w:color w:val="auto"/>
                <w:kern w:val="0"/>
                <w:sz w:val="21"/>
                <w:szCs w:val="21"/>
                <w:highlight w:val="none"/>
              </w:rPr>
            </w:pPr>
            <w:r>
              <w:rPr>
                <w:rFonts w:hint="eastAsia" w:ascii="Times New Roman" w:hAnsi="Times New Roman" w:eastAsia="宋体" w:cs="Times New Roman"/>
                <w:color w:val="auto"/>
                <w:sz w:val="21"/>
                <w:szCs w:val="24"/>
                <w:highlight w:val="none"/>
                <w:lang w:val="en-US" w:eastAsia="zh-CN" w:bidi="ar-SA"/>
              </w:rPr>
              <w:t>代理机构能为采购人/招标人提供其他未被委托项目的咨询服务，如政策咨询等。从服务方案内容丰富度、能有效保障采购人工作开展等进行横向比较，优得10分，良得7分，一般得4分，差或未提供不得分。</w:t>
            </w:r>
            <w:bookmarkStart w:id="36" w:name="_GoBack"/>
            <w:bookmarkEnd w:id="36"/>
          </w:p>
        </w:tc>
        <w:tc>
          <w:tcPr>
            <w:tcW w:w="2360" w:type="dxa"/>
            <w:vAlign w:val="center"/>
          </w:tcPr>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投标人提供服务方案，评审专家独立评审打分。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425" w:type="dxa"/>
            <w:vMerge w:val="restart"/>
            <w:vAlign w:val="center"/>
          </w:tcPr>
          <w:p>
            <w:pPr>
              <w:ind w:firstLine="28"/>
              <w:jc w:val="center"/>
              <w:rPr>
                <w:rFonts w:hint="eastAsia" w:ascii="宋体" w:hAnsi="宋体" w:eastAsia="宋体" w:cs="方正仿宋_GBK"/>
                <w:color w:val="auto"/>
                <w:kern w:val="0"/>
                <w:sz w:val="21"/>
                <w:szCs w:val="21"/>
                <w:highlight w:val="none"/>
                <w:lang w:eastAsia="zh-CN"/>
              </w:rPr>
            </w:pPr>
            <w:r>
              <w:rPr>
                <w:rFonts w:hint="eastAsia" w:ascii="宋体" w:hAnsi="宋体" w:eastAsia="宋体" w:cs="方正仿宋_GBK"/>
                <w:color w:val="auto"/>
                <w:kern w:val="0"/>
                <w:sz w:val="21"/>
                <w:szCs w:val="21"/>
                <w:highlight w:val="none"/>
                <w:lang w:val="en-US" w:eastAsia="zh-CN"/>
              </w:rPr>
              <w:t>3</w:t>
            </w:r>
          </w:p>
        </w:tc>
        <w:tc>
          <w:tcPr>
            <w:tcW w:w="851" w:type="dxa"/>
            <w:vMerge w:val="restart"/>
            <w:vAlign w:val="center"/>
          </w:tcPr>
          <w:p>
            <w:pPr>
              <w:adjustRightInd w:val="0"/>
              <w:snapToGrid w:val="0"/>
              <w:ind w:firstLine="28"/>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商务部分40%</w:t>
            </w:r>
          </w:p>
        </w:tc>
        <w:tc>
          <w:tcPr>
            <w:tcW w:w="851" w:type="dxa"/>
            <w:tcBorders>
              <w:bottom w:val="single" w:color="auto" w:sz="4" w:space="0"/>
            </w:tcBorders>
            <w:vAlign w:val="center"/>
          </w:tcPr>
          <w:p>
            <w:pPr>
              <w:adjustRightInd w:val="0"/>
              <w:snapToGrid w:val="0"/>
              <w:ind w:firstLine="28"/>
              <w:jc w:val="center"/>
              <w:rPr>
                <w:rFonts w:hint="eastAsia" w:ascii="宋体" w:hAnsi="宋体" w:eastAsia="宋体" w:cs="方正仿宋_GBK"/>
                <w:color w:val="auto"/>
                <w:kern w:val="0"/>
                <w:sz w:val="21"/>
                <w:szCs w:val="21"/>
                <w:highlight w:val="none"/>
                <w:lang w:eastAsia="zh-CN"/>
              </w:rPr>
            </w:pPr>
            <w:r>
              <w:rPr>
                <w:rFonts w:hint="eastAsia" w:ascii="宋体" w:hAnsi="宋体" w:eastAsia="宋体" w:cs="方正仿宋_GBK"/>
                <w:color w:val="auto"/>
                <w:kern w:val="0"/>
                <w:sz w:val="21"/>
                <w:szCs w:val="21"/>
                <w:highlight w:val="none"/>
                <w:lang w:val="en-US" w:eastAsia="zh-CN"/>
              </w:rPr>
              <w:t>项目人员</w:t>
            </w:r>
          </w:p>
        </w:tc>
        <w:tc>
          <w:tcPr>
            <w:tcW w:w="1171" w:type="dxa"/>
            <w:tcBorders>
              <w:bottom w:val="single" w:color="auto" w:sz="4" w:space="0"/>
            </w:tcBorders>
            <w:vAlign w:val="center"/>
          </w:tcPr>
          <w:p>
            <w:pPr>
              <w:adjustRightInd w:val="0"/>
              <w:snapToGrid w:val="0"/>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lang w:val="en-US" w:eastAsia="zh-CN"/>
              </w:rPr>
              <w:t>20</w:t>
            </w:r>
            <w:r>
              <w:rPr>
                <w:rFonts w:hint="eastAsia" w:ascii="宋体" w:hAnsi="宋体" w:eastAsia="宋体" w:cs="方正仿宋_GBK"/>
                <w:color w:val="auto"/>
                <w:kern w:val="0"/>
                <w:sz w:val="21"/>
                <w:szCs w:val="21"/>
                <w:highlight w:val="none"/>
              </w:rPr>
              <w:t>分</w:t>
            </w:r>
          </w:p>
          <w:p>
            <w:pPr>
              <w:ind w:firstLine="28"/>
              <w:jc w:val="center"/>
              <w:rPr>
                <w:rFonts w:ascii="宋体" w:hAnsi="宋体" w:eastAsia="宋体" w:cs="方正仿宋_GBK"/>
                <w:color w:val="auto"/>
                <w:kern w:val="0"/>
                <w:sz w:val="21"/>
                <w:szCs w:val="21"/>
                <w:highlight w:val="none"/>
              </w:rPr>
            </w:pPr>
          </w:p>
        </w:tc>
        <w:tc>
          <w:tcPr>
            <w:tcW w:w="3827" w:type="dxa"/>
            <w:vAlign w:val="center"/>
          </w:tcPr>
          <w:p>
            <w:pPr>
              <w:snapToGrid w:val="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1.在拟派项目</w:t>
            </w:r>
            <w:r>
              <w:rPr>
                <w:rFonts w:hint="eastAsia" w:ascii="宋体" w:hAnsi="宋体" w:eastAsia="宋体" w:cs="宋体"/>
                <w:bCs/>
                <w:color w:val="auto"/>
                <w:kern w:val="2"/>
                <w:sz w:val="21"/>
                <w:szCs w:val="21"/>
                <w:highlight w:val="none"/>
                <w:lang w:val="en-US" w:eastAsia="zh-CN"/>
              </w:rPr>
              <w:t>负责人</w:t>
            </w:r>
            <w:r>
              <w:rPr>
                <w:rFonts w:hint="eastAsia" w:ascii="宋体" w:hAnsi="宋体" w:eastAsia="宋体" w:cs="宋体"/>
                <w:bCs/>
                <w:color w:val="auto"/>
                <w:kern w:val="2"/>
                <w:sz w:val="21"/>
                <w:szCs w:val="21"/>
                <w:highlight w:val="none"/>
              </w:rPr>
              <w:t>具有</w:t>
            </w:r>
            <w:r>
              <w:rPr>
                <w:rFonts w:hint="eastAsia" w:ascii="宋体" w:hAnsi="宋体" w:eastAsia="宋体" w:cs="宋体"/>
                <w:bCs/>
                <w:color w:val="auto"/>
                <w:kern w:val="2"/>
                <w:sz w:val="21"/>
                <w:szCs w:val="21"/>
                <w:highlight w:val="none"/>
                <w:lang w:val="en-US" w:eastAsia="zh-CN"/>
              </w:rPr>
              <w:t>工程类高级技术职称得8分</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本项</w:t>
            </w:r>
            <w:r>
              <w:rPr>
                <w:rFonts w:hint="eastAsia" w:ascii="宋体" w:hAnsi="宋体" w:eastAsia="宋体" w:cs="宋体"/>
                <w:bCs/>
                <w:color w:val="auto"/>
                <w:kern w:val="2"/>
                <w:sz w:val="21"/>
                <w:szCs w:val="21"/>
                <w:highlight w:val="none"/>
              </w:rPr>
              <w:t>最高得</w:t>
            </w:r>
            <w:r>
              <w:rPr>
                <w:rFonts w:hint="eastAsia" w:ascii="宋体" w:hAnsi="宋体" w:eastAsia="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p>
          <w:p>
            <w:pPr>
              <w:snapToGrid w:val="0"/>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2.在拟派项目人员中，具有</w:t>
            </w:r>
            <w:r>
              <w:rPr>
                <w:rFonts w:hint="eastAsia" w:ascii="宋体" w:hAnsi="宋体" w:eastAsia="宋体" w:cs="宋体"/>
                <w:bCs/>
                <w:color w:val="auto"/>
                <w:kern w:val="2"/>
                <w:sz w:val="21"/>
                <w:szCs w:val="21"/>
                <w:highlight w:val="none"/>
                <w:lang w:val="en-US" w:eastAsia="zh-CN"/>
              </w:rPr>
              <w:t>工程类中级及以上技术职称得3分，本项最高得12分</w:t>
            </w:r>
            <w:r>
              <w:rPr>
                <w:rFonts w:hint="eastAsia" w:ascii="宋体" w:hAnsi="宋体" w:eastAsia="宋体" w:cs="宋体"/>
                <w:bCs/>
                <w:color w:val="auto"/>
                <w:kern w:val="2"/>
                <w:sz w:val="21"/>
                <w:szCs w:val="21"/>
                <w:highlight w:val="none"/>
              </w:rPr>
              <w:t>。</w:t>
            </w:r>
          </w:p>
          <w:p>
            <w:pPr>
              <w:snapToGrid w:val="0"/>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以上人员重复的，得分不累计。</w:t>
            </w:r>
          </w:p>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宋体"/>
                <w:b/>
                <w:color w:val="auto"/>
                <w:kern w:val="2"/>
                <w:sz w:val="21"/>
                <w:szCs w:val="21"/>
                <w:highlight w:val="none"/>
              </w:rPr>
              <w:t>注：提供以上人员职称证</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lang w:val="en-US" w:eastAsia="zh-CN"/>
              </w:rPr>
              <w:t>投标人2023年3月至2023年6月为其缴纳的社保证明</w:t>
            </w:r>
            <w:r>
              <w:rPr>
                <w:rFonts w:hint="eastAsia" w:ascii="宋体" w:hAnsi="宋体" w:eastAsia="宋体" w:cs="宋体"/>
                <w:b/>
                <w:color w:val="auto"/>
                <w:kern w:val="2"/>
                <w:sz w:val="21"/>
                <w:szCs w:val="21"/>
                <w:highlight w:val="none"/>
              </w:rPr>
              <w:t>等证明材料的复印件并加盖</w:t>
            </w:r>
            <w:r>
              <w:rPr>
                <w:rFonts w:hint="eastAsia" w:ascii="宋体" w:hAnsi="宋体" w:eastAsia="宋体" w:cs="宋体"/>
                <w:b/>
                <w:color w:val="auto"/>
                <w:kern w:val="2"/>
                <w:sz w:val="21"/>
                <w:szCs w:val="21"/>
                <w:highlight w:val="none"/>
                <w:lang w:val="en-US" w:eastAsia="zh-CN"/>
              </w:rPr>
              <w:t>投标人</w:t>
            </w:r>
            <w:r>
              <w:rPr>
                <w:rFonts w:hint="eastAsia" w:ascii="宋体" w:hAnsi="宋体" w:eastAsia="宋体" w:cs="宋体"/>
                <w:b/>
                <w:color w:val="auto"/>
                <w:kern w:val="2"/>
                <w:sz w:val="21"/>
                <w:szCs w:val="21"/>
                <w:highlight w:val="none"/>
              </w:rPr>
              <w:t>公章。</w:t>
            </w:r>
          </w:p>
        </w:tc>
        <w:tc>
          <w:tcPr>
            <w:tcW w:w="2360" w:type="dxa"/>
            <w:tcBorders>
              <w:bottom w:val="single" w:color="auto" w:sz="4" w:space="0"/>
            </w:tcBorders>
            <w:vAlign w:val="center"/>
          </w:tcPr>
          <w:p>
            <w:pPr>
              <w:adjustRightInd w:val="0"/>
              <w:snapToGrid w:val="0"/>
              <w:ind w:left="-4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1、提供相关人员的社保缴纳证明材料（202</w:t>
            </w:r>
            <w:r>
              <w:rPr>
                <w:rFonts w:hint="eastAsia" w:ascii="宋体" w:hAnsi="宋体" w:eastAsia="宋体" w:cs="方正仿宋_GBK"/>
                <w:color w:val="auto"/>
                <w:kern w:val="0"/>
                <w:sz w:val="21"/>
                <w:szCs w:val="21"/>
                <w:highlight w:val="none"/>
                <w:lang w:val="en-US" w:eastAsia="zh-CN"/>
              </w:rPr>
              <w:t>3</w:t>
            </w:r>
            <w:r>
              <w:rPr>
                <w:rFonts w:hint="eastAsia" w:ascii="宋体" w:hAnsi="宋体" w:eastAsia="宋体" w:cs="方正仿宋_GBK"/>
                <w:color w:val="auto"/>
                <w:kern w:val="0"/>
                <w:sz w:val="21"/>
                <w:szCs w:val="21"/>
                <w:highlight w:val="none"/>
              </w:rPr>
              <w:t>年</w:t>
            </w:r>
            <w:r>
              <w:rPr>
                <w:rFonts w:hint="eastAsia" w:ascii="宋体" w:hAnsi="宋体" w:eastAsia="宋体" w:cs="方正仿宋_GBK"/>
                <w:color w:val="auto"/>
                <w:kern w:val="0"/>
                <w:sz w:val="21"/>
                <w:szCs w:val="21"/>
                <w:highlight w:val="none"/>
                <w:lang w:val="en-US" w:eastAsia="zh-CN"/>
              </w:rPr>
              <w:t>6</w:t>
            </w:r>
            <w:r>
              <w:rPr>
                <w:rFonts w:hint="eastAsia" w:ascii="宋体" w:hAnsi="宋体" w:eastAsia="宋体" w:cs="方正仿宋_GBK"/>
                <w:color w:val="auto"/>
                <w:kern w:val="0"/>
                <w:sz w:val="21"/>
                <w:szCs w:val="21"/>
                <w:highlight w:val="none"/>
              </w:rPr>
              <w:t>月-202</w:t>
            </w:r>
            <w:r>
              <w:rPr>
                <w:rFonts w:hint="eastAsia" w:ascii="宋体" w:hAnsi="宋体" w:eastAsia="宋体" w:cs="方正仿宋_GBK"/>
                <w:color w:val="auto"/>
                <w:kern w:val="0"/>
                <w:sz w:val="21"/>
                <w:szCs w:val="21"/>
                <w:highlight w:val="none"/>
                <w:lang w:val="en-US" w:eastAsia="zh-CN"/>
              </w:rPr>
              <w:t>3</w:t>
            </w:r>
            <w:r>
              <w:rPr>
                <w:rFonts w:hint="eastAsia" w:ascii="宋体" w:hAnsi="宋体" w:eastAsia="宋体" w:cs="方正仿宋_GBK"/>
                <w:color w:val="auto"/>
                <w:kern w:val="0"/>
                <w:sz w:val="21"/>
                <w:szCs w:val="21"/>
                <w:highlight w:val="none"/>
              </w:rPr>
              <w:t>年</w:t>
            </w:r>
            <w:r>
              <w:rPr>
                <w:rFonts w:hint="eastAsia" w:ascii="宋体" w:hAnsi="宋体" w:eastAsia="宋体" w:cs="方正仿宋_GBK"/>
                <w:color w:val="auto"/>
                <w:kern w:val="0"/>
                <w:sz w:val="21"/>
                <w:szCs w:val="21"/>
                <w:highlight w:val="none"/>
                <w:lang w:val="en-US" w:eastAsia="zh-CN"/>
              </w:rPr>
              <w:t>6</w:t>
            </w:r>
            <w:r>
              <w:rPr>
                <w:rFonts w:hint="eastAsia" w:ascii="宋体" w:hAnsi="宋体" w:eastAsia="宋体" w:cs="方正仿宋_GBK"/>
                <w:color w:val="auto"/>
                <w:kern w:val="0"/>
                <w:sz w:val="21"/>
                <w:szCs w:val="21"/>
                <w:highlight w:val="none"/>
              </w:rPr>
              <w:t>月的社保）；</w:t>
            </w:r>
          </w:p>
          <w:p>
            <w:pPr>
              <w:adjustRightInd w:val="0"/>
              <w:snapToGrid w:val="0"/>
              <w:ind w:left="-4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2、提供相关人员的资格证书复印件或其他证明材料并加盖投标人鲜章。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425" w:type="dxa"/>
            <w:vMerge w:val="continue"/>
            <w:vAlign w:val="center"/>
          </w:tcPr>
          <w:p>
            <w:pPr>
              <w:ind w:firstLine="28"/>
              <w:jc w:val="center"/>
              <w:rPr>
                <w:rFonts w:ascii="宋体" w:hAnsi="宋体" w:eastAsia="宋体" w:cs="方正仿宋_GBK"/>
                <w:color w:val="auto"/>
                <w:kern w:val="0"/>
                <w:sz w:val="21"/>
                <w:szCs w:val="21"/>
                <w:highlight w:val="none"/>
              </w:rPr>
            </w:pPr>
          </w:p>
        </w:tc>
        <w:tc>
          <w:tcPr>
            <w:tcW w:w="851" w:type="dxa"/>
            <w:vMerge w:val="continue"/>
            <w:vAlign w:val="center"/>
          </w:tcPr>
          <w:p>
            <w:pPr>
              <w:adjustRightInd w:val="0"/>
              <w:snapToGrid w:val="0"/>
              <w:ind w:firstLine="28"/>
              <w:jc w:val="center"/>
              <w:rPr>
                <w:rFonts w:ascii="宋体" w:hAnsi="宋体" w:eastAsia="宋体" w:cs="方正仿宋_GBK"/>
                <w:color w:val="auto"/>
                <w:kern w:val="0"/>
                <w:sz w:val="21"/>
                <w:szCs w:val="21"/>
                <w:highlight w:val="none"/>
              </w:rPr>
            </w:pPr>
          </w:p>
        </w:tc>
        <w:tc>
          <w:tcPr>
            <w:tcW w:w="851" w:type="dxa"/>
            <w:vAlign w:val="center"/>
          </w:tcPr>
          <w:p>
            <w:pPr>
              <w:adjustRightInd w:val="0"/>
              <w:snapToGrid w:val="0"/>
              <w:ind w:firstLine="28"/>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lang w:val="en-US" w:eastAsia="zh-CN"/>
              </w:rPr>
              <w:t>企业</w:t>
            </w:r>
            <w:r>
              <w:rPr>
                <w:rFonts w:hint="eastAsia" w:ascii="宋体" w:hAnsi="宋体" w:eastAsia="宋体" w:cs="方正仿宋_GBK"/>
                <w:color w:val="auto"/>
                <w:kern w:val="0"/>
                <w:sz w:val="21"/>
                <w:szCs w:val="21"/>
                <w:highlight w:val="none"/>
              </w:rPr>
              <w:t>业绩</w:t>
            </w:r>
          </w:p>
        </w:tc>
        <w:tc>
          <w:tcPr>
            <w:tcW w:w="1171" w:type="dxa"/>
            <w:vAlign w:val="center"/>
          </w:tcPr>
          <w:p>
            <w:pPr>
              <w:ind w:firstLine="28"/>
              <w:jc w:val="center"/>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lang w:val="en-US" w:eastAsia="zh-CN"/>
              </w:rPr>
              <w:t>20</w:t>
            </w:r>
            <w:r>
              <w:rPr>
                <w:rFonts w:hint="eastAsia" w:ascii="宋体" w:hAnsi="宋体" w:eastAsia="宋体" w:cs="方正仿宋_GBK"/>
                <w:color w:val="auto"/>
                <w:kern w:val="0"/>
                <w:sz w:val="21"/>
                <w:szCs w:val="21"/>
                <w:highlight w:val="none"/>
              </w:rPr>
              <w:t>分</w:t>
            </w:r>
          </w:p>
        </w:tc>
        <w:tc>
          <w:tcPr>
            <w:tcW w:w="3827" w:type="dxa"/>
            <w:vAlign w:val="center"/>
          </w:tcPr>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1、201</w:t>
            </w:r>
            <w:r>
              <w:rPr>
                <w:rFonts w:ascii="宋体" w:hAnsi="宋体" w:eastAsia="宋体" w:cs="方正仿宋_GBK"/>
                <w:color w:val="auto"/>
                <w:kern w:val="0"/>
                <w:sz w:val="21"/>
                <w:szCs w:val="21"/>
                <w:highlight w:val="none"/>
              </w:rPr>
              <w:t>9</w:t>
            </w:r>
            <w:r>
              <w:rPr>
                <w:rFonts w:hint="eastAsia" w:ascii="宋体" w:hAnsi="宋体" w:eastAsia="宋体" w:cs="方正仿宋_GBK"/>
                <w:color w:val="auto"/>
                <w:kern w:val="0"/>
                <w:sz w:val="21"/>
                <w:szCs w:val="21"/>
                <w:highlight w:val="none"/>
              </w:rPr>
              <w:t>年1月1日至今，投标人代理的招标工程施工项目中标金额大小评分（每个代理项目不可重复计算）:</w:t>
            </w:r>
          </w:p>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（1）中标金额在</w:t>
            </w:r>
            <w:r>
              <w:rPr>
                <w:rFonts w:ascii="宋体" w:hAnsi="宋体" w:eastAsia="宋体" w:cs="方正仿宋_GBK"/>
                <w:color w:val="auto"/>
                <w:kern w:val="0"/>
                <w:sz w:val="21"/>
                <w:szCs w:val="21"/>
                <w:highlight w:val="none"/>
              </w:rPr>
              <w:t>10000</w:t>
            </w:r>
            <w:r>
              <w:rPr>
                <w:rFonts w:hint="eastAsia" w:ascii="宋体" w:hAnsi="宋体" w:eastAsia="宋体" w:cs="方正仿宋_GBK"/>
                <w:color w:val="auto"/>
                <w:kern w:val="0"/>
                <w:sz w:val="21"/>
                <w:szCs w:val="21"/>
                <w:highlight w:val="none"/>
              </w:rPr>
              <w:t>万元（含）以上的，每提供一份业绩得2分，最多得6分。</w:t>
            </w:r>
          </w:p>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（2）中标金额在</w:t>
            </w:r>
            <w:r>
              <w:rPr>
                <w:rFonts w:ascii="宋体" w:hAnsi="宋体" w:eastAsia="宋体" w:cs="方正仿宋_GBK"/>
                <w:color w:val="auto"/>
                <w:kern w:val="0"/>
                <w:sz w:val="21"/>
                <w:szCs w:val="21"/>
                <w:highlight w:val="none"/>
              </w:rPr>
              <w:t>5</w:t>
            </w:r>
            <w:r>
              <w:rPr>
                <w:rFonts w:hint="eastAsia" w:ascii="宋体" w:hAnsi="宋体" w:eastAsia="宋体" w:cs="方正仿宋_GBK"/>
                <w:color w:val="auto"/>
                <w:kern w:val="0"/>
                <w:sz w:val="21"/>
                <w:szCs w:val="21"/>
                <w:highlight w:val="none"/>
              </w:rPr>
              <w:t>000万元（含）以上、</w:t>
            </w:r>
            <w:r>
              <w:rPr>
                <w:rFonts w:ascii="宋体" w:hAnsi="宋体" w:eastAsia="宋体" w:cs="方正仿宋_GBK"/>
                <w:color w:val="auto"/>
                <w:kern w:val="0"/>
                <w:sz w:val="21"/>
                <w:szCs w:val="21"/>
                <w:highlight w:val="none"/>
              </w:rPr>
              <w:t>10000</w:t>
            </w:r>
            <w:r>
              <w:rPr>
                <w:rFonts w:hint="eastAsia" w:ascii="宋体" w:hAnsi="宋体" w:eastAsia="宋体" w:cs="方正仿宋_GBK"/>
                <w:color w:val="auto"/>
                <w:kern w:val="0"/>
                <w:sz w:val="21"/>
                <w:szCs w:val="21"/>
                <w:highlight w:val="none"/>
              </w:rPr>
              <w:t>万元（不含）以下的业绩，每提供一份业绩得2分，最多得4分。</w:t>
            </w:r>
          </w:p>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（3）中标金额在</w:t>
            </w:r>
            <w:r>
              <w:rPr>
                <w:rFonts w:ascii="宋体" w:hAnsi="宋体" w:eastAsia="宋体" w:cs="方正仿宋_GBK"/>
                <w:color w:val="auto"/>
                <w:kern w:val="0"/>
                <w:sz w:val="21"/>
                <w:szCs w:val="21"/>
                <w:highlight w:val="none"/>
              </w:rPr>
              <w:t>1000</w:t>
            </w:r>
            <w:r>
              <w:rPr>
                <w:rFonts w:hint="eastAsia" w:ascii="宋体" w:hAnsi="宋体" w:eastAsia="宋体" w:cs="方正仿宋_GBK"/>
                <w:color w:val="auto"/>
                <w:kern w:val="0"/>
                <w:sz w:val="21"/>
                <w:szCs w:val="21"/>
                <w:highlight w:val="none"/>
              </w:rPr>
              <w:t>万元（含）以上、</w:t>
            </w:r>
            <w:r>
              <w:rPr>
                <w:rFonts w:ascii="宋体" w:hAnsi="宋体" w:eastAsia="宋体" w:cs="方正仿宋_GBK"/>
                <w:color w:val="auto"/>
                <w:kern w:val="0"/>
                <w:sz w:val="21"/>
                <w:szCs w:val="21"/>
                <w:highlight w:val="none"/>
              </w:rPr>
              <w:t>5</w:t>
            </w:r>
            <w:r>
              <w:rPr>
                <w:rFonts w:hint="eastAsia" w:ascii="宋体" w:hAnsi="宋体" w:eastAsia="宋体" w:cs="方正仿宋_GBK"/>
                <w:color w:val="auto"/>
                <w:kern w:val="0"/>
                <w:sz w:val="21"/>
                <w:szCs w:val="21"/>
                <w:highlight w:val="none"/>
              </w:rPr>
              <w:t>000万元（不含）以下的业绩，每提供一份业绩得1分，最多得2分。</w:t>
            </w:r>
          </w:p>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2、2019年1月1日至今，投标人代理过学校类（是指：招标人为学校单位）公开招标的工程项目，每个得2分，最多得8分。</w:t>
            </w:r>
          </w:p>
          <w:p>
            <w:pPr>
              <w:adjustRightInd w:val="0"/>
              <w:snapToGrid w:val="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上述业绩总得分最高为20分。</w:t>
            </w:r>
          </w:p>
        </w:tc>
        <w:tc>
          <w:tcPr>
            <w:tcW w:w="2360" w:type="dxa"/>
            <w:vAlign w:val="center"/>
          </w:tcPr>
          <w:p>
            <w:pPr>
              <w:adjustRightInd w:val="0"/>
              <w:snapToGrid w:val="0"/>
              <w:ind w:left="-4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1、提供项目中标通知书或代理合同并加盖投标人鲜章。中标通知书或代理合同须体现出中标金额、代理机构名称、业主单位等重要信息。</w:t>
            </w:r>
          </w:p>
          <w:p>
            <w:pPr>
              <w:adjustRightInd w:val="0"/>
              <w:snapToGrid w:val="0"/>
              <w:ind w:left="-40"/>
              <w:rPr>
                <w:rFonts w:ascii="宋体" w:hAnsi="宋体" w:eastAsia="宋体" w:cs="方正仿宋_GBK"/>
                <w:color w:val="auto"/>
                <w:kern w:val="0"/>
                <w:sz w:val="21"/>
                <w:szCs w:val="21"/>
                <w:highlight w:val="none"/>
              </w:rPr>
            </w:pPr>
            <w:r>
              <w:rPr>
                <w:rFonts w:hint="eastAsia" w:ascii="宋体" w:hAnsi="宋体" w:eastAsia="宋体" w:cs="方正仿宋_GBK"/>
                <w:color w:val="auto"/>
                <w:kern w:val="0"/>
                <w:sz w:val="21"/>
                <w:szCs w:val="21"/>
                <w:highlight w:val="none"/>
              </w:rPr>
              <w:t>2、相关业绩需前附列表注明业绩项目名称、中标金额以及项目业主联系人和联系电话。</w:t>
            </w:r>
          </w:p>
        </w:tc>
      </w:tr>
    </w:tbl>
    <w:p>
      <w:pPr>
        <w:spacing w:line="520" w:lineRule="exact"/>
        <w:rPr>
          <w:rFonts w:hint="eastAsia" w:ascii="宋体" w:hAnsi="宋体" w:cs="方正仿宋_GBK"/>
          <w:b/>
          <w:color w:val="auto"/>
          <w:sz w:val="28"/>
          <w:szCs w:val="28"/>
          <w:highlight w:val="none"/>
        </w:rPr>
      </w:pPr>
    </w:p>
    <w:p>
      <w:pPr>
        <w:spacing w:line="52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注：①所有复印件均需加盖投标人单位公章；②以分支机构参加投标的，其技术及商务评审因素均以分支机构实力为准。</w:t>
      </w:r>
    </w:p>
    <w:p>
      <w:pPr>
        <w:spacing w:line="520" w:lineRule="exact"/>
        <w:ind w:firstLine="562" w:firstLineChars="200"/>
        <w:jc w:val="left"/>
        <w:rPr>
          <w:rFonts w:cs="方正仿宋_GBK" w:asciiTheme="minorEastAsia" w:hAnsiTheme="minorEastAsia" w:eastAsiaTheme="minorEastAsia"/>
          <w:bCs/>
          <w:color w:val="auto"/>
          <w:sz w:val="28"/>
          <w:szCs w:val="28"/>
          <w:highlight w:val="none"/>
        </w:rPr>
      </w:pPr>
      <w:bookmarkStart w:id="28" w:name="_Toc231610031"/>
      <w:bookmarkStart w:id="29" w:name="_Toc464133379"/>
      <w:r>
        <w:rPr>
          <w:rFonts w:hint="eastAsia" w:cs="方正仿宋_GBK" w:asciiTheme="minorEastAsia" w:hAnsiTheme="minorEastAsia" w:eastAsiaTheme="minorEastAsia"/>
          <w:b/>
          <w:color w:val="auto"/>
          <w:sz w:val="28"/>
          <w:szCs w:val="28"/>
          <w:highlight w:val="none"/>
        </w:rPr>
        <w:t>（</w:t>
      </w:r>
      <w:r>
        <w:rPr>
          <w:rFonts w:hint="eastAsia" w:cs="方正仿宋_GBK" w:asciiTheme="minorEastAsia" w:hAnsiTheme="minorEastAsia" w:eastAsiaTheme="minorEastAsia"/>
          <w:b/>
          <w:color w:val="auto"/>
          <w:sz w:val="28"/>
          <w:szCs w:val="28"/>
          <w:highlight w:val="none"/>
          <w:lang w:val="en-US" w:eastAsia="zh-CN"/>
        </w:rPr>
        <w:t>11</w:t>
      </w:r>
      <w:r>
        <w:rPr>
          <w:rFonts w:hint="eastAsia" w:cs="方正仿宋_GBK" w:asciiTheme="minorEastAsia" w:hAnsiTheme="minorEastAsia" w:eastAsiaTheme="minorEastAsia"/>
          <w:b/>
          <w:color w:val="auto"/>
          <w:sz w:val="28"/>
          <w:szCs w:val="28"/>
          <w:highlight w:val="none"/>
        </w:rPr>
        <w:t>）复核评审情况。</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各成员独立对每个有效投标人的</w:t>
      </w:r>
      <w:r>
        <w:rPr>
          <w:rFonts w:hint="eastAsia" w:cs="方正仿宋_GBK" w:asciiTheme="minorEastAsia" w:hAnsiTheme="minorEastAsia" w:eastAsiaTheme="minorEastAsia"/>
          <w:bCs/>
          <w:color w:val="auto"/>
          <w:sz w:val="28"/>
          <w:szCs w:val="28"/>
          <w:highlight w:val="none"/>
          <w:lang w:eastAsia="zh-CN"/>
        </w:rPr>
        <w:t>响应文件</w:t>
      </w:r>
      <w:r>
        <w:rPr>
          <w:rFonts w:hint="eastAsia" w:cs="方正仿宋_GBK" w:asciiTheme="minorEastAsia" w:hAnsiTheme="minorEastAsia" w:eastAsiaTheme="minorEastAsia"/>
          <w:bCs/>
          <w:color w:val="auto"/>
          <w:sz w:val="28"/>
          <w:szCs w:val="28"/>
          <w:highlight w:val="none"/>
        </w:rPr>
        <w:t>进行评价、打分，然后由评审组长组织</w:t>
      </w:r>
      <w:r>
        <w:rPr>
          <w:rFonts w:hint="eastAsia" w:cs="方正仿宋_GBK" w:asciiTheme="minorEastAsia" w:hAnsiTheme="minorEastAsia" w:eastAsiaTheme="minorEastAsia"/>
          <w:bCs/>
          <w:color w:val="auto"/>
          <w:sz w:val="28"/>
          <w:szCs w:val="28"/>
          <w:highlight w:val="none"/>
          <w:lang w:eastAsia="zh-CN"/>
        </w:rPr>
        <w:t>磋商小组</w:t>
      </w:r>
      <w:r>
        <w:rPr>
          <w:rFonts w:hint="eastAsia" w:cs="方正仿宋_GBK" w:asciiTheme="minorEastAsia" w:hAnsiTheme="minorEastAsia" w:eastAsiaTheme="minorEastAsia"/>
          <w:bCs/>
          <w:color w:val="auto"/>
          <w:sz w:val="28"/>
          <w:szCs w:val="28"/>
          <w:highlight w:val="none"/>
        </w:rPr>
        <w:t>对各成员打分情况进行核查及复核，个别成员对同一投标人同一评分项的打分偏离较大的，应对投标人的</w:t>
      </w:r>
      <w:r>
        <w:rPr>
          <w:rFonts w:hint="eastAsia" w:cs="方正仿宋_GBK" w:asciiTheme="minorEastAsia" w:hAnsiTheme="minorEastAsia" w:eastAsiaTheme="minorEastAsia"/>
          <w:bCs/>
          <w:color w:val="auto"/>
          <w:sz w:val="28"/>
          <w:szCs w:val="28"/>
          <w:highlight w:val="none"/>
          <w:lang w:eastAsia="zh-CN"/>
        </w:rPr>
        <w:t>响应文件</w:t>
      </w:r>
      <w:r>
        <w:rPr>
          <w:rFonts w:hint="eastAsia" w:cs="方正仿宋_GBK" w:asciiTheme="minorEastAsia" w:hAnsiTheme="minorEastAsia" w:eastAsiaTheme="minorEastAsia"/>
          <w:bCs/>
          <w:color w:val="auto"/>
          <w:sz w:val="28"/>
          <w:szCs w:val="28"/>
          <w:highlight w:val="none"/>
        </w:rPr>
        <w:t>进行再次核对，确属打分有误的，应及时进行修正。</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Cs/>
          <w:color w:val="auto"/>
          <w:sz w:val="28"/>
          <w:szCs w:val="28"/>
          <w:highlight w:val="none"/>
        </w:rPr>
        <w:t>复核后，</w:t>
      </w:r>
      <w:r>
        <w:rPr>
          <w:rFonts w:hint="eastAsia" w:cs="方正仿宋_GBK" w:asciiTheme="minorEastAsia" w:hAnsiTheme="minorEastAsia" w:eastAsiaTheme="minorEastAsia"/>
          <w:bCs/>
          <w:color w:val="auto"/>
          <w:sz w:val="28"/>
          <w:szCs w:val="28"/>
          <w:highlight w:val="none"/>
          <w:lang w:eastAsia="zh-CN"/>
        </w:rPr>
        <w:t>磋商小组</w:t>
      </w:r>
      <w:r>
        <w:rPr>
          <w:rFonts w:hint="eastAsia" w:cs="方正仿宋_GBK" w:asciiTheme="minorEastAsia" w:hAnsiTheme="minorEastAsia" w:eastAsiaTheme="minorEastAsia"/>
          <w:bCs/>
          <w:color w:val="auto"/>
          <w:sz w:val="28"/>
          <w:szCs w:val="28"/>
          <w:highlight w:val="none"/>
        </w:rPr>
        <w:t>汇总每个投标人每项评分因素的得分。投标人的最终得分=</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各成员的打分之和算术平均值。</w:t>
      </w:r>
    </w:p>
    <w:p>
      <w:pPr>
        <w:spacing w:line="520" w:lineRule="exact"/>
        <w:ind w:firstLine="562" w:firstLineChars="200"/>
        <w:jc w:val="left"/>
        <w:rPr>
          <w:rFonts w:hint="eastAsia"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lang w:val="en-US" w:eastAsia="zh-CN"/>
        </w:rPr>
        <w:t>（12）</w:t>
      </w:r>
      <w:r>
        <w:rPr>
          <w:rFonts w:hint="eastAsia" w:cs="方正仿宋_GBK" w:asciiTheme="minorEastAsia" w:hAnsiTheme="minorEastAsia" w:eastAsiaTheme="minorEastAsia"/>
          <w:b/>
          <w:color w:val="auto"/>
          <w:sz w:val="28"/>
          <w:szCs w:val="28"/>
          <w:highlight w:val="none"/>
        </w:rPr>
        <w:t>推荐中标供应商排名。</w:t>
      </w:r>
      <w:r>
        <w:rPr>
          <w:rFonts w:hint="eastAsia" w:cs="方正仿宋_GBK" w:asciiTheme="minorEastAsia" w:hAnsiTheme="minorEastAsia" w:eastAsiaTheme="minorEastAsia"/>
          <w:bCs/>
          <w:color w:val="auto"/>
          <w:sz w:val="28"/>
          <w:szCs w:val="28"/>
          <w:highlight w:val="none"/>
        </w:rPr>
        <w:t>按评审后得分由高到低的排列顺序推荐综合得分排名靠前的投标人为本项目中标候选人。</w:t>
      </w:r>
    </w:p>
    <w:p>
      <w:pPr>
        <w:spacing w:line="520" w:lineRule="exact"/>
        <w:ind w:firstLine="562"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
          <w:color w:val="auto"/>
          <w:sz w:val="28"/>
          <w:szCs w:val="28"/>
          <w:highlight w:val="none"/>
        </w:rPr>
        <w:t>（</w:t>
      </w:r>
      <w:r>
        <w:rPr>
          <w:rFonts w:hint="eastAsia" w:cs="方正仿宋_GBK" w:asciiTheme="minorEastAsia" w:hAnsiTheme="minorEastAsia" w:eastAsiaTheme="minorEastAsia"/>
          <w:b/>
          <w:color w:val="auto"/>
          <w:sz w:val="28"/>
          <w:szCs w:val="28"/>
          <w:highlight w:val="none"/>
          <w:lang w:val="en-US" w:eastAsia="zh-CN"/>
        </w:rPr>
        <w:t>13</w:t>
      </w:r>
      <w:r>
        <w:rPr>
          <w:rFonts w:hint="eastAsia" w:cs="方正仿宋_GBK" w:asciiTheme="minorEastAsia" w:hAnsiTheme="minorEastAsia" w:eastAsiaTheme="minorEastAsia"/>
          <w:b/>
          <w:color w:val="auto"/>
          <w:sz w:val="28"/>
          <w:szCs w:val="28"/>
          <w:highlight w:val="none"/>
        </w:rPr>
        <w:t>）出具评标报告。</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根据全体成员签字的原始评标记录和评审结果编写评标报告。评标报告主要内容由</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全体成员逐页签字确认。</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成员对需要共同认定的事项存在争议的，按照少数服从多数的原则做出结论。持不同意见的</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成员应当在评标报告上签署不同意见并说明理由；只签字未写明不同意见或者只写明不同意见未说明理由的，视为无意见；不签字的，不影响评标报告的有效性。评标报告应当包括下列主要内容：</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Cs/>
          <w:color w:val="auto"/>
          <w:sz w:val="28"/>
          <w:szCs w:val="28"/>
          <w:highlight w:val="none"/>
        </w:rPr>
        <w:t>①开标日期和地点；</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Cs/>
          <w:color w:val="auto"/>
          <w:sz w:val="28"/>
          <w:szCs w:val="28"/>
          <w:highlight w:val="none"/>
        </w:rPr>
        <w:t>②获取</w:t>
      </w:r>
      <w:r>
        <w:rPr>
          <w:rFonts w:hint="eastAsia" w:cs="方正仿宋_GBK" w:asciiTheme="minorEastAsia" w:hAnsiTheme="minorEastAsia" w:eastAsiaTheme="minorEastAsia"/>
          <w:bCs/>
          <w:color w:val="auto"/>
          <w:sz w:val="28"/>
          <w:szCs w:val="28"/>
          <w:highlight w:val="none"/>
          <w:lang w:eastAsia="zh-CN"/>
        </w:rPr>
        <w:t>采购文件</w:t>
      </w:r>
      <w:r>
        <w:rPr>
          <w:rFonts w:hint="eastAsia" w:cs="方正仿宋_GBK" w:asciiTheme="minorEastAsia" w:hAnsiTheme="minorEastAsia" w:eastAsiaTheme="minorEastAsia"/>
          <w:bCs/>
          <w:color w:val="auto"/>
          <w:sz w:val="28"/>
          <w:szCs w:val="28"/>
          <w:highlight w:val="none"/>
        </w:rPr>
        <w:t>投标人名单和</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成员名单；</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Cs/>
          <w:color w:val="auto"/>
          <w:sz w:val="28"/>
          <w:szCs w:val="28"/>
          <w:highlight w:val="none"/>
        </w:rPr>
        <w:t>③评标方法；</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Cs/>
          <w:color w:val="auto"/>
          <w:sz w:val="28"/>
          <w:szCs w:val="28"/>
          <w:highlight w:val="none"/>
        </w:rPr>
        <w:t>④开标记录和评标情况及说明，包括无效投标人名单及原因；</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Cs/>
          <w:color w:val="auto"/>
          <w:sz w:val="28"/>
          <w:szCs w:val="28"/>
          <w:highlight w:val="none"/>
        </w:rPr>
        <w:t>⑤评标结果和候选中标人排序，以及推荐候选中标人的理由，尤其是</w:t>
      </w:r>
      <w:r>
        <w:rPr>
          <w:rFonts w:hint="eastAsia" w:cs="方正仿宋_GBK" w:asciiTheme="minorEastAsia" w:hAnsiTheme="minorEastAsia" w:eastAsiaTheme="minorEastAsia"/>
          <w:bCs/>
          <w:color w:val="auto"/>
          <w:sz w:val="28"/>
          <w:szCs w:val="28"/>
          <w:highlight w:val="none"/>
          <w:lang w:eastAsia="zh-CN"/>
        </w:rPr>
        <w:t>响应文件</w:t>
      </w:r>
      <w:r>
        <w:rPr>
          <w:rFonts w:hint="eastAsia" w:cs="方正仿宋_GBK" w:asciiTheme="minorEastAsia" w:hAnsiTheme="minorEastAsia" w:eastAsiaTheme="minorEastAsia"/>
          <w:bCs/>
          <w:color w:val="auto"/>
          <w:sz w:val="28"/>
          <w:szCs w:val="28"/>
          <w:highlight w:val="none"/>
        </w:rPr>
        <w:t>被认定为无效的、废标的和终止评审等情形，</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应当进行重点复核、分析原因，并在评标报告中注明。</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bCs/>
          <w:color w:val="auto"/>
          <w:sz w:val="28"/>
          <w:szCs w:val="28"/>
          <w:highlight w:val="none"/>
        </w:rPr>
        <w:t>⑥</w:t>
      </w:r>
      <w:r>
        <w:rPr>
          <w:rFonts w:hint="eastAsia" w:cs="方正仿宋_GBK" w:asciiTheme="minorEastAsia" w:hAnsiTheme="minorEastAsia" w:eastAsiaTheme="minorEastAsia"/>
          <w:bCs/>
          <w:color w:val="auto"/>
          <w:sz w:val="28"/>
          <w:szCs w:val="28"/>
          <w:highlight w:val="none"/>
          <w:lang w:eastAsia="zh-CN"/>
        </w:rPr>
        <w:t>竞争性磋商小组</w:t>
      </w:r>
      <w:r>
        <w:rPr>
          <w:rFonts w:hint="eastAsia" w:cs="方正仿宋_GBK" w:asciiTheme="minorEastAsia" w:hAnsiTheme="minorEastAsia" w:eastAsiaTheme="minorEastAsia"/>
          <w:bCs/>
          <w:color w:val="auto"/>
          <w:sz w:val="28"/>
          <w:szCs w:val="28"/>
          <w:highlight w:val="none"/>
        </w:rPr>
        <w:t>授标建议。</w:t>
      </w:r>
    </w:p>
    <w:p>
      <w:pPr>
        <w:spacing w:line="520" w:lineRule="exact"/>
        <w:ind w:firstLine="562" w:firstLineChars="200"/>
        <w:jc w:val="left"/>
        <w:rPr>
          <w:rFonts w:cs="方正仿宋_GBK" w:asciiTheme="minorEastAsia" w:hAnsiTheme="minorEastAsia" w:eastAsiaTheme="minorEastAsia"/>
          <w:bCs/>
          <w:color w:val="auto"/>
          <w:sz w:val="28"/>
          <w:szCs w:val="28"/>
          <w:highlight w:val="none"/>
        </w:rPr>
      </w:pPr>
      <w:bookmarkStart w:id="30" w:name="_Toc38356747"/>
      <w:r>
        <w:rPr>
          <w:rFonts w:hint="eastAsia" w:cs="方正仿宋_GBK" w:asciiTheme="minorEastAsia" w:hAnsiTheme="minorEastAsia" w:eastAsiaTheme="minorEastAsia"/>
          <w:b/>
          <w:color w:val="auto"/>
          <w:sz w:val="28"/>
          <w:szCs w:val="28"/>
          <w:highlight w:val="none"/>
        </w:rPr>
        <w:t>（</w:t>
      </w:r>
      <w:r>
        <w:rPr>
          <w:rFonts w:hint="eastAsia" w:cs="方正仿宋_GBK" w:asciiTheme="minorEastAsia" w:hAnsiTheme="minorEastAsia" w:eastAsiaTheme="minorEastAsia"/>
          <w:b/>
          <w:color w:val="auto"/>
          <w:sz w:val="28"/>
          <w:szCs w:val="28"/>
          <w:highlight w:val="none"/>
          <w:lang w:val="en-US" w:eastAsia="zh-CN"/>
        </w:rPr>
        <w:t>三</w:t>
      </w:r>
      <w:r>
        <w:rPr>
          <w:rFonts w:hint="eastAsia" w:cs="方正仿宋_GBK" w:asciiTheme="minorEastAsia" w:hAnsiTheme="minorEastAsia" w:eastAsiaTheme="minorEastAsia"/>
          <w:b/>
          <w:color w:val="auto"/>
          <w:sz w:val="28"/>
          <w:szCs w:val="28"/>
          <w:highlight w:val="none"/>
        </w:rPr>
        <w:t>）无效投标条款</w:t>
      </w:r>
      <w:bookmarkEnd w:id="30"/>
      <w:r>
        <w:rPr>
          <w:rFonts w:hint="eastAsia" w:cs="方正仿宋_GBK" w:asciiTheme="minorEastAsia" w:hAnsiTheme="minorEastAsia" w:eastAsiaTheme="minorEastAsia"/>
          <w:b/>
          <w:color w:val="auto"/>
          <w:sz w:val="28"/>
          <w:szCs w:val="28"/>
          <w:highlight w:val="none"/>
        </w:rPr>
        <w:t>。</w:t>
      </w:r>
      <w:r>
        <w:rPr>
          <w:rFonts w:hint="eastAsia" w:cs="方正仿宋_GBK" w:asciiTheme="minorEastAsia" w:hAnsiTheme="minorEastAsia" w:eastAsiaTheme="minorEastAsia"/>
          <w:bCs/>
          <w:color w:val="auto"/>
          <w:sz w:val="28"/>
          <w:szCs w:val="28"/>
          <w:highlight w:val="none"/>
        </w:rPr>
        <w:t>投标人或其</w:t>
      </w:r>
      <w:r>
        <w:rPr>
          <w:rFonts w:hint="eastAsia" w:cs="方正仿宋_GBK" w:asciiTheme="minorEastAsia" w:hAnsiTheme="minorEastAsia" w:eastAsiaTheme="minorEastAsia"/>
          <w:bCs/>
          <w:color w:val="auto"/>
          <w:sz w:val="28"/>
          <w:szCs w:val="28"/>
          <w:highlight w:val="none"/>
          <w:lang w:eastAsia="zh-CN"/>
        </w:rPr>
        <w:t>响应文件</w:t>
      </w:r>
      <w:r>
        <w:rPr>
          <w:rFonts w:hint="eastAsia" w:cs="方正仿宋_GBK" w:asciiTheme="minorEastAsia" w:hAnsiTheme="minorEastAsia" w:eastAsiaTheme="minorEastAsia"/>
          <w:bCs/>
          <w:color w:val="auto"/>
          <w:sz w:val="28"/>
          <w:szCs w:val="28"/>
          <w:highlight w:val="none"/>
        </w:rPr>
        <w:t>出现下列情况之一者，应为无效投标：</w:t>
      </w:r>
    </w:p>
    <w:p>
      <w:pPr>
        <w:spacing w:line="520" w:lineRule="exact"/>
        <w:ind w:firstLine="560" w:firstLineChars="200"/>
        <w:jc w:val="left"/>
        <w:rPr>
          <w:rFonts w:hint="eastAsia"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1.</w:t>
      </w:r>
      <w:r>
        <w:rPr>
          <w:rFonts w:hint="eastAsia" w:cs="方正仿宋_GBK" w:asciiTheme="minorEastAsia" w:hAnsiTheme="minorEastAsia" w:eastAsiaTheme="minorEastAsia"/>
          <w:bCs/>
          <w:color w:val="auto"/>
          <w:sz w:val="28"/>
          <w:szCs w:val="28"/>
          <w:highlight w:val="none"/>
        </w:rPr>
        <w:t>未按照</w:t>
      </w:r>
      <w:r>
        <w:rPr>
          <w:rFonts w:hint="eastAsia" w:cs="方正仿宋_GBK" w:asciiTheme="minorEastAsia" w:hAnsiTheme="minorEastAsia" w:eastAsiaTheme="minorEastAsia"/>
          <w:bCs/>
          <w:color w:val="auto"/>
          <w:sz w:val="28"/>
          <w:szCs w:val="28"/>
          <w:highlight w:val="none"/>
          <w:lang w:eastAsia="zh-CN"/>
        </w:rPr>
        <w:t>采购文件</w:t>
      </w:r>
      <w:r>
        <w:rPr>
          <w:rFonts w:hint="eastAsia" w:cs="方正仿宋_GBK" w:asciiTheme="minorEastAsia" w:hAnsiTheme="minorEastAsia" w:eastAsiaTheme="minorEastAsia"/>
          <w:bCs/>
          <w:color w:val="auto"/>
          <w:sz w:val="28"/>
          <w:szCs w:val="28"/>
          <w:highlight w:val="none"/>
        </w:rPr>
        <w:t>的规定提交</w:t>
      </w:r>
      <w:r>
        <w:rPr>
          <w:rFonts w:hint="eastAsia" w:cs="方正仿宋_GBK" w:asciiTheme="minorEastAsia" w:hAnsiTheme="minorEastAsia" w:eastAsiaTheme="minorEastAsia"/>
          <w:bCs/>
          <w:color w:val="auto"/>
          <w:sz w:val="28"/>
          <w:szCs w:val="28"/>
          <w:highlight w:val="none"/>
          <w:lang w:eastAsia="zh-CN"/>
        </w:rPr>
        <w:t>磋商保证金</w:t>
      </w:r>
      <w:r>
        <w:rPr>
          <w:rFonts w:hint="eastAsia" w:cs="方正仿宋_GBK" w:asciiTheme="minorEastAsia" w:hAnsiTheme="minorEastAsia" w:eastAsiaTheme="minorEastAsia"/>
          <w:bCs/>
          <w:color w:val="auto"/>
          <w:sz w:val="28"/>
          <w:szCs w:val="28"/>
          <w:highlight w:val="none"/>
        </w:rPr>
        <w:t>的；</w:t>
      </w:r>
    </w:p>
    <w:p>
      <w:pPr>
        <w:spacing w:line="520" w:lineRule="exact"/>
        <w:ind w:firstLine="560" w:firstLineChars="200"/>
        <w:jc w:val="left"/>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2.响应文件未按采购文件要求签署、盖章的；</w:t>
      </w:r>
    </w:p>
    <w:p>
      <w:pPr>
        <w:spacing w:line="520" w:lineRule="exact"/>
        <w:ind w:firstLine="560" w:firstLineChars="200"/>
        <w:jc w:val="left"/>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3.不具备采购文件中规定的资格要求的；</w:t>
      </w:r>
    </w:p>
    <w:p>
      <w:pPr>
        <w:spacing w:line="520" w:lineRule="exact"/>
        <w:ind w:firstLine="560" w:firstLineChars="200"/>
        <w:jc w:val="left"/>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4.投标人磋商有效期不满足竞争性磋商文件要求的；</w:t>
      </w:r>
    </w:p>
    <w:p>
      <w:pPr>
        <w:spacing w:line="520" w:lineRule="exact"/>
        <w:ind w:firstLine="560" w:firstLineChars="200"/>
        <w:jc w:val="left"/>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5.响应文件含有采购人不能接受的附加条件的；</w:t>
      </w:r>
    </w:p>
    <w:p>
      <w:pPr>
        <w:spacing w:line="520" w:lineRule="exact"/>
        <w:ind w:firstLine="560" w:firstLineChars="200"/>
        <w:jc w:val="left"/>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6.投标人串通投标的；</w:t>
      </w:r>
    </w:p>
    <w:p>
      <w:pPr>
        <w:spacing w:line="520" w:lineRule="exact"/>
        <w:ind w:firstLine="560" w:firstLineChars="200"/>
        <w:jc w:val="left"/>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7.投标人以联合体形式参与磋商的；</w:t>
      </w:r>
    </w:p>
    <w:p>
      <w:pPr>
        <w:spacing w:line="520" w:lineRule="exact"/>
        <w:ind w:firstLine="560" w:firstLineChars="200"/>
        <w:jc w:val="left"/>
        <w:rPr>
          <w:rFonts w:hint="eastAsia" w:cs="方正仿宋_GBK" w:asciiTheme="minorEastAsia" w:hAnsiTheme="minorEastAsia" w:eastAsiaTheme="minorEastAsia"/>
          <w:color w:val="auto"/>
          <w:sz w:val="28"/>
          <w:szCs w:val="28"/>
          <w:highlight w:val="none"/>
          <w:lang w:val="en-US" w:eastAsia="zh-CN"/>
        </w:rPr>
      </w:pPr>
      <w:r>
        <w:rPr>
          <w:rFonts w:hint="eastAsia" w:cs="方正仿宋_GBK" w:asciiTheme="minorEastAsia" w:hAnsiTheme="minorEastAsia" w:eastAsiaTheme="minorEastAsia"/>
          <w:color w:val="auto"/>
          <w:sz w:val="28"/>
          <w:szCs w:val="28"/>
          <w:highlight w:val="none"/>
          <w:lang w:val="en-US" w:eastAsia="zh-CN"/>
        </w:rPr>
        <w:t>8.同一总公司授权多家分支机构参与投标的；</w:t>
      </w:r>
    </w:p>
    <w:p>
      <w:pPr>
        <w:spacing w:line="520" w:lineRule="exact"/>
        <w:ind w:firstLine="560" w:firstLineChars="200"/>
        <w:jc w:val="left"/>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9.法律、法规和采购文件规定的其他无效情形。</w:t>
      </w:r>
    </w:p>
    <w:p>
      <w:pPr>
        <w:spacing w:line="520" w:lineRule="exact"/>
        <w:ind w:firstLine="422" w:firstLineChars="150"/>
        <w:rPr>
          <w:rFonts w:cs="方正仿宋_GBK" w:asciiTheme="minorEastAsia" w:hAnsiTheme="minorEastAsia" w:eastAsiaTheme="minorEastAsia"/>
          <w:color w:val="auto"/>
          <w:sz w:val="28"/>
          <w:szCs w:val="28"/>
          <w:highlight w:val="none"/>
        </w:rPr>
      </w:pPr>
      <w:bookmarkStart w:id="31" w:name="_Toc38356748"/>
      <w:r>
        <w:rPr>
          <w:rFonts w:hint="eastAsia" w:cs="方正仿宋_GBK" w:asciiTheme="minorEastAsia" w:hAnsiTheme="minorEastAsia" w:eastAsiaTheme="minorEastAsia"/>
          <w:b/>
          <w:color w:val="auto"/>
          <w:sz w:val="28"/>
          <w:szCs w:val="28"/>
          <w:highlight w:val="none"/>
        </w:rPr>
        <w:t>（</w:t>
      </w:r>
      <w:r>
        <w:rPr>
          <w:rFonts w:hint="eastAsia" w:cs="方正仿宋_GBK" w:asciiTheme="minorEastAsia" w:hAnsiTheme="minorEastAsia" w:eastAsiaTheme="minorEastAsia"/>
          <w:b/>
          <w:color w:val="auto"/>
          <w:sz w:val="28"/>
          <w:szCs w:val="28"/>
          <w:highlight w:val="none"/>
          <w:lang w:val="en-US" w:eastAsia="zh-CN"/>
        </w:rPr>
        <w:t>四</w:t>
      </w:r>
      <w:r>
        <w:rPr>
          <w:rFonts w:hint="eastAsia" w:cs="方正仿宋_GBK" w:asciiTheme="minorEastAsia" w:hAnsiTheme="minorEastAsia" w:eastAsiaTheme="minorEastAsia"/>
          <w:b/>
          <w:color w:val="auto"/>
          <w:sz w:val="28"/>
          <w:szCs w:val="28"/>
          <w:highlight w:val="none"/>
        </w:rPr>
        <w:t>）废标条款</w:t>
      </w:r>
      <w:bookmarkEnd w:id="31"/>
      <w:r>
        <w:rPr>
          <w:rFonts w:hint="eastAsia" w:cs="方正仿宋_GBK" w:asciiTheme="minorEastAsia" w:hAnsiTheme="minorEastAsia" w:eastAsiaTheme="minorEastAsia"/>
          <w:b/>
          <w:color w:val="auto"/>
          <w:sz w:val="28"/>
          <w:szCs w:val="28"/>
          <w:highlight w:val="none"/>
        </w:rPr>
        <w:t>。</w:t>
      </w:r>
      <w:r>
        <w:rPr>
          <w:rFonts w:hint="eastAsia" w:cs="方正仿宋_GBK" w:asciiTheme="minorEastAsia" w:hAnsiTheme="minorEastAsia" w:eastAsiaTheme="minorEastAsia"/>
          <w:color w:val="auto"/>
          <w:sz w:val="28"/>
          <w:szCs w:val="28"/>
          <w:highlight w:val="none"/>
          <w:lang w:eastAsia="zh-CN"/>
        </w:rPr>
        <w:t>竞争性磋商小组</w:t>
      </w:r>
      <w:r>
        <w:rPr>
          <w:rFonts w:hint="eastAsia" w:cs="方正仿宋_GBK" w:asciiTheme="minorEastAsia" w:hAnsiTheme="minorEastAsia" w:eastAsiaTheme="minorEastAsia"/>
          <w:color w:val="auto"/>
          <w:sz w:val="28"/>
          <w:szCs w:val="28"/>
          <w:highlight w:val="none"/>
        </w:rPr>
        <w:t>评审时出现以下情况之一的，应予废标：</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1.</w:t>
      </w:r>
      <w:r>
        <w:rPr>
          <w:rFonts w:hint="eastAsia" w:cs="方正仿宋_GBK" w:asciiTheme="minorEastAsia" w:hAnsiTheme="minorEastAsia" w:eastAsiaTheme="minorEastAsia"/>
          <w:color w:val="auto"/>
          <w:sz w:val="28"/>
          <w:szCs w:val="28"/>
          <w:highlight w:val="none"/>
        </w:rPr>
        <w:t>符合专业条件的投标人或者对</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作实质响应的投标人不足三家的；</w:t>
      </w:r>
    </w:p>
    <w:p>
      <w:pPr>
        <w:spacing w:line="520" w:lineRule="exact"/>
        <w:ind w:firstLine="560"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2.</w:t>
      </w:r>
      <w:r>
        <w:rPr>
          <w:rFonts w:hint="eastAsia" w:cs="方正仿宋_GBK" w:asciiTheme="minorEastAsia" w:hAnsiTheme="minorEastAsia" w:eastAsiaTheme="minorEastAsia"/>
          <w:color w:val="auto"/>
          <w:sz w:val="28"/>
          <w:szCs w:val="28"/>
          <w:highlight w:val="none"/>
        </w:rPr>
        <w:t>出现影响采购公正的违法、违规行为的；</w:t>
      </w:r>
    </w:p>
    <w:p>
      <w:pPr>
        <w:spacing w:line="520" w:lineRule="exact"/>
        <w:ind w:firstLine="560"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3.</w:t>
      </w:r>
      <w:r>
        <w:rPr>
          <w:rFonts w:hint="eastAsia" w:cs="方正仿宋_GBK" w:asciiTheme="minorEastAsia" w:hAnsiTheme="minorEastAsia" w:eastAsiaTheme="minorEastAsia"/>
          <w:color w:val="auto"/>
          <w:sz w:val="28"/>
          <w:szCs w:val="28"/>
          <w:highlight w:val="none"/>
        </w:rPr>
        <w:t>因重大变故，采购任务取消的。</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废标后，除采购任务取消情形外，应当重新组织采购。</w:t>
      </w:r>
    </w:p>
    <w:p>
      <w:pPr>
        <w:spacing w:line="520" w:lineRule="exact"/>
        <w:ind w:left="3900" w:leftChars="1625" w:firstLine="141" w:firstLineChars="50"/>
        <w:jc w:val="left"/>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六、定标</w:t>
      </w:r>
    </w:p>
    <w:p>
      <w:pPr>
        <w:spacing w:line="520" w:lineRule="exact"/>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（一）确定中标人</w:t>
      </w:r>
    </w:p>
    <w:p>
      <w:pPr>
        <w:spacing w:line="520" w:lineRule="exact"/>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1.评审结束后，采购人在发布</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的相应媒体上公示评审结果，公示期为1个工作日。在公示期内无异议的，分包一确定不超过4名投标人为</w:t>
      </w:r>
      <w:r>
        <w:rPr>
          <w:rFonts w:hint="eastAsia" w:cs="方正仿宋_GBK" w:asciiTheme="minorEastAsia" w:hAnsiTheme="minorEastAsia" w:eastAsiaTheme="minorEastAsia"/>
          <w:color w:val="auto"/>
          <w:sz w:val="28"/>
          <w:szCs w:val="28"/>
          <w:highlight w:val="none"/>
          <w:lang w:val="en-US" w:eastAsia="zh-CN"/>
        </w:rPr>
        <w:t>本项目</w:t>
      </w:r>
      <w:r>
        <w:rPr>
          <w:rFonts w:hint="eastAsia" w:cs="方正仿宋_GBK" w:asciiTheme="minorEastAsia" w:hAnsiTheme="minorEastAsia" w:eastAsiaTheme="minorEastAsia"/>
          <w:color w:val="auto"/>
          <w:sz w:val="28"/>
          <w:szCs w:val="28"/>
          <w:highlight w:val="none"/>
        </w:rPr>
        <w:t>中标人，分包二确定不超过2名投标人为</w:t>
      </w:r>
      <w:r>
        <w:rPr>
          <w:rFonts w:hint="eastAsia" w:cs="方正仿宋_GBK" w:asciiTheme="minorEastAsia" w:hAnsiTheme="minorEastAsia" w:eastAsiaTheme="minorEastAsia"/>
          <w:color w:val="auto"/>
          <w:sz w:val="28"/>
          <w:szCs w:val="28"/>
          <w:highlight w:val="none"/>
          <w:lang w:val="en-US" w:eastAsia="zh-CN"/>
        </w:rPr>
        <w:t>本项目</w:t>
      </w:r>
      <w:r>
        <w:rPr>
          <w:rFonts w:hint="eastAsia" w:cs="方正仿宋_GBK" w:asciiTheme="minorEastAsia" w:hAnsiTheme="minorEastAsia" w:eastAsiaTheme="minorEastAsia"/>
          <w:color w:val="auto"/>
          <w:sz w:val="28"/>
          <w:szCs w:val="28"/>
          <w:highlight w:val="none"/>
        </w:rPr>
        <w:t>中标人。</w:t>
      </w:r>
    </w:p>
    <w:p>
      <w:pPr>
        <w:spacing w:line="520" w:lineRule="exact"/>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bCs/>
          <w:color w:val="auto"/>
          <w:sz w:val="28"/>
          <w:szCs w:val="28"/>
          <w:highlight w:val="none"/>
        </w:rPr>
        <w:t>中标人有正当理由放弃中标（无正当理由放弃中标的，不予退还</w:t>
      </w:r>
      <w:r>
        <w:rPr>
          <w:rFonts w:hint="eastAsia" w:cs="方正仿宋_GBK" w:asciiTheme="minorEastAsia" w:hAnsiTheme="minorEastAsia" w:eastAsiaTheme="minorEastAsia"/>
          <w:bCs/>
          <w:color w:val="auto"/>
          <w:sz w:val="28"/>
          <w:szCs w:val="28"/>
          <w:highlight w:val="none"/>
          <w:lang w:eastAsia="zh-CN"/>
        </w:rPr>
        <w:t>磋商保证金</w:t>
      </w:r>
      <w:r>
        <w:rPr>
          <w:rFonts w:hint="eastAsia" w:cs="方正仿宋_GBK" w:asciiTheme="minorEastAsia" w:hAnsiTheme="minorEastAsia" w:eastAsiaTheme="minorEastAsia"/>
          <w:bCs/>
          <w:color w:val="auto"/>
          <w:sz w:val="28"/>
          <w:szCs w:val="28"/>
          <w:highlight w:val="none"/>
        </w:rPr>
        <w:t>），或者因不可抗力不能履行合同，或者被查实存在影响评审结果等违法情形、不符合中标条件的，采购人可以调整中标单位数量，可以按照评审排序结果依次确定其他中标候选人为中标人，也可以重新招标。</w:t>
      </w:r>
    </w:p>
    <w:p>
      <w:pPr>
        <w:spacing w:line="520" w:lineRule="exact"/>
        <w:ind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2.采购人有权根据采购任务变更等实际情况调整中标数量。</w:t>
      </w:r>
    </w:p>
    <w:p>
      <w:pPr>
        <w:spacing w:line="520" w:lineRule="exact"/>
        <w:ind w:left="1"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(二)中标通知</w:t>
      </w:r>
    </w:p>
    <w:p>
      <w:pPr>
        <w:spacing w:line="520" w:lineRule="exact"/>
        <w:ind w:left="1" w:firstLine="560" w:firstLineChars="20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采购人在确定中标人后3个工作日内，以书面形式向中标人发出《中标通知书》。</w:t>
      </w:r>
    </w:p>
    <w:p>
      <w:pPr>
        <w:spacing w:line="520" w:lineRule="exact"/>
        <w:ind w:left="3600"/>
        <w:jc w:val="left"/>
        <w:rPr>
          <w:rFonts w:cs="方正仿宋_GBK" w:asciiTheme="minorEastAsia" w:hAnsiTheme="minorEastAsia" w:eastAsiaTheme="minorEastAsia"/>
          <w:b/>
          <w:bCs/>
          <w:color w:val="auto"/>
          <w:sz w:val="28"/>
          <w:szCs w:val="28"/>
          <w:highlight w:val="none"/>
        </w:rPr>
      </w:pPr>
      <w:r>
        <w:rPr>
          <w:rFonts w:hint="eastAsia" w:cs="方正仿宋_GBK" w:asciiTheme="minorEastAsia" w:hAnsiTheme="minorEastAsia" w:eastAsiaTheme="minorEastAsia"/>
          <w:b/>
          <w:bCs/>
          <w:color w:val="auto"/>
          <w:sz w:val="28"/>
          <w:szCs w:val="28"/>
          <w:highlight w:val="none"/>
        </w:rPr>
        <w:t>七、签订合同</w:t>
      </w:r>
    </w:p>
    <w:p>
      <w:pPr>
        <w:spacing w:line="520" w:lineRule="exact"/>
        <w:ind w:firstLine="420"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（一）中标人在采购人发出《中标通知书》之日起</w:t>
      </w:r>
      <w:r>
        <w:rPr>
          <w:rFonts w:hint="eastAsia" w:cs="方正仿宋_GBK" w:asciiTheme="minorEastAsia" w:hAnsiTheme="minorEastAsia" w:eastAsiaTheme="minorEastAsia"/>
          <w:color w:val="auto"/>
          <w:sz w:val="28"/>
          <w:szCs w:val="28"/>
          <w:highlight w:val="none"/>
          <w:lang w:val="en-US" w:eastAsia="zh-CN"/>
        </w:rPr>
        <w:t>20日</w:t>
      </w:r>
      <w:r>
        <w:rPr>
          <w:rFonts w:hint="eastAsia" w:cs="方正仿宋_GBK" w:asciiTheme="minorEastAsia" w:hAnsiTheme="minorEastAsia" w:eastAsiaTheme="minorEastAsia"/>
          <w:color w:val="auto"/>
          <w:sz w:val="28"/>
          <w:szCs w:val="28"/>
          <w:highlight w:val="none"/>
        </w:rPr>
        <w:t>内，按照采购人规定的时间、地点签订合同。未经采购人同意逾期不签订合同的，将取消中标人中标资格。</w:t>
      </w:r>
    </w:p>
    <w:p>
      <w:pPr>
        <w:spacing w:line="520" w:lineRule="exact"/>
        <w:ind w:firstLine="420"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、中标人的</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、补充</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、澄清承诺、说明、补正和《中标通知书》等，均为签订合同的依据。</w:t>
      </w:r>
    </w:p>
    <w:p>
      <w:pPr>
        <w:spacing w:line="520" w:lineRule="exact"/>
        <w:ind w:firstLine="420"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（三）所签订的合同不得对</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和中标人</w:t>
      </w:r>
      <w:r>
        <w:rPr>
          <w:rFonts w:hint="eastAsia" w:cs="方正仿宋_GBK" w:asciiTheme="minorEastAsia" w:hAnsiTheme="minorEastAsia" w:eastAsiaTheme="minorEastAsia"/>
          <w:color w:val="auto"/>
          <w:sz w:val="28"/>
          <w:szCs w:val="28"/>
          <w:highlight w:val="none"/>
          <w:lang w:eastAsia="zh-CN"/>
        </w:rPr>
        <w:t>响应文件</w:t>
      </w:r>
      <w:r>
        <w:rPr>
          <w:rFonts w:hint="eastAsia" w:cs="方正仿宋_GBK" w:asciiTheme="minorEastAsia" w:hAnsiTheme="minorEastAsia" w:eastAsiaTheme="minorEastAsia"/>
          <w:color w:val="auto"/>
          <w:sz w:val="28"/>
          <w:szCs w:val="28"/>
          <w:highlight w:val="none"/>
        </w:rPr>
        <w:t>作实质性修改。</w:t>
      </w:r>
    </w:p>
    <w:p>
      <w:pPr>
        <w:spacing w:line="520" w:lineRule="exact"/>
        <w:ind w:firstLine="420" w:firstLineChars="150"/>
        <w:jc w:val="left"/>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xml:space="preserve">（四）中标人应当按照合同约定履行义务，完成中标项目。中标人不得向他人转让中标项目，也不得将中标项目分包向他人转让或委托加工。   </w:t>
      </w:r>
    </w:p>
    <w:p>
      <w:pPr>
        <w:pStyle w:val="13"/>
        <w:spacing w:line="520" w:lineRule="exact"/>
        <w:ind w:firstLine="3233" w:firstLineChars="1150"/>
        <w:rPr>
          <w:rFonts w:cs="方正仿宋_GBK" w:asciiTheme="minorEastAsia" w:hAnsiTheme="minorEastAsia" w:eastAsiaTheme="minorEastAsia"/>
          <w:b/>
          <w:bCs/>
          <w:snapToGrid w:val="0"/>
          <w:color w:val="auto"/>
          <w:sz w:val="28"/>
          <w:szCs w:val="28"/>
          <w:highlight w:val="none"/>
        </w:rPr>
      </w:pPr>
      <w:r>
        <w:rPr>
          <w:rFonts w:hint="eastAsia" w:cs="方正仿宋_GBK" w:asciiTheme="minorEastAsia" w:hAnsiTheme="minorEastAsia" w:eastAsiaTheme="minorEastAsia"/>
          <w:b/>
          <w:bCs/>
          <w:snapToGrid w:val="0"/>
          <w:color w:val="auto"/>
          <w:sz w:val="28"/>
          <w:szCs w:val="28"/>
          <w:highlight w:val="none"/>
        </w:rPr>
        <w:t>八、解释权限</w:t>
      </w:r>
    </w:p>
    <w:p>
      <w:pPr>
        <w:spacing w:line="520" w:lineRule="exact"/>
        <w:ind w:firstLine="560" w:firstLineChars="200"/>
        <w:outlineLvl w:val="0"/>
        <w:rPr>
          <w:rFonts w:cs="方正仿宋_GBK" w:asciiTheme="minorEastAsia" w:hAnsiTheme="minorEastAsia" w:eastAsiaTheme="minorEastAsia"/>
          <w:bCs/>
          <w:color w:val="auto"/>
          <w:sz w:val="28"/>
          <w:szCs w:val="28"/>
          <w:highlight w:val="none"/>
        </w:rPr>
      </w:pPr>
      <w:r>
        <w:rPr>
          <w:rFonts w:hint="eastAsia" w:cs="方正仿宋_GBK" w:asciiTheme="minorEastAsia" w:hAnsiTheme="minorEastAsia" w:eastAsiaTheme="minorEastAsia"/>
          <w:color w:val="auto"/>
          <w:sz w:val="28"/>
          <w:szCs w:val="28"/>
          <w:highlight w:val="none"/>
        </w:rPr>
        <w:t>本项目遴选文件由采购人负责解释。</w:t>
      </w:r>
    </w:p>
    <w:p>
      <w:pPr>
        <w:pStyle w:val="13"/>
        <w:adjustRightInd w:val="0"/>
        <w:snapToGrid w:val="0"/>
        <w:spacing w:line="240" w:lineRule="auto"/>
        <w:ind w:firstLine="548"/>
        <w:rPr>
          <w:rFonts w:cs="方正仿宋_GBK" w:asciiTheme="minorEastAsia" w:hAnsiTheme="minorEastAsia" w:eastAsiaTheme="minorEastAsia"/>
          <w:color w:val="auto"/>
          <w:sz w:val="28"/>
          <w:szCs w:val="28"/>
          <w:highlight w:val="none"/>
        </w:rPr>
      </w:pPr>
    </w:p>
    <w:bookmarkEnd w:id="28"/>
    <w:bookmarkEnd w:id="29"/>
    <w:p>
      <w:pPr>
        <w:pStyle w:val="4"/>
        <w:spacing w:line="560" w:lineRule="exact"/>
        <w:jc w:val="center"/>
        <w:rPr>
          <w:rFonts w:ascii="宋体" w:hAnsi="宋体" w:cs="方正仿宋_GBK"/>
          <w:color w:val="auto"/>
          <w:kern w:val="0"/>
          <w:highlight w:val="none"/>
        </w:rPr>
      </w:pPr>
      <w:bookmarkStart w:id="32" w:name="_Toc285612603"/>
    </w:p>
    <w:p>
      <w:pPr>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4"/>
        <w:spacing w:line="560" w:lineRule="exact"/>
        <w:jc w:val="center"/>
        <w:rPr>
          <w:rFonts w:ascii="宋体" w:hAnsi="宋体" w:cs="方正仿宋_GBK"/>
          <w:color w:val="auto"/>
          <w:kern w:val="0"/>
          <w:highlight w:val="none"/>
        </w:rPr>
      </w:pPr>
    </w:p>
    <w:p>
      <w:pPr>
        <w:rPr>
          <w:rFonts w:ascii="宋体" w:hAnsi="宋体" w:cs="方正仿宋_GBK"/>
          <w:color w:val="auto"/>
          <w:highlight w:val="none"/>
        </w:rPr>
      </w:pPr>
    </w:p>
    <w:p>
      <w:pPr>
        <w:pStyle w:val="18"/>
        <w:rPr>
          <w:color w:val="auto"/>
          <w:highlight w:val="none"/>
        </w:rPr>
      </w:pPr>
    </w:p>
    <w:p>
      <w:pPr>
        <w:pStyle w:val="4"/>
        <w:spacing w:line="560" w:lineRule="exact"/>
        <w:rPr>
          <w:rFonts w:ascii="宋体" w:hAnsi="宋体" w:cs="方正仿宋_GBK"/>
          <w:color w:val="auto"/>
          <w:kern w:val="0"/>
          <w:highlight w:val="none"/>
        </w:rPr>
      </w:pPr>
    </w:p>
    <w:p>
      <w:pPr>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pStyle w:val="18"/>
        <w:rPr>
          <w:rFonts w:ascii="宋体" w:hAnsi="宋体" w:cs="方正仿宋_GBK"/>
          <w:color w:val="auto"/>
          <w:kern w:val="0"/>
          <w:highlight w:val="none"/>
        </w:rPr>
      </w:pPr>
    </w:p>
    <w:p>
      <w:pPr>
        <w:rPr>
          <w:rFonts w:ascii="宋体" w:hAnsi="宋体" w:cs="方正仿宋_GBK"/>
          <w:color w:val="auto"/>
          <w:highlight w:val="none"/>
        </w:rPr>
      </w:pPr>
    </w:p>
    <w:p>
      <w:pPr>
        <w:pStyle w:val="18"/>
        <w:rPr>
          <w:color w:val="auto"/>
          <w:highlight w:val="none"/>
        </w:rPr>
      </w:pPr>
    </w:p>
    <w:p>
      <w:pPr>
        <w:rPr>
          <w:color w:val="auto"/>
          <w:highlight w:val="none"/>
        </w:rPr>
      </w:pPr>
    </w:p>
    <w:p>
      <w:pPr>
        <w:pStyle w:val="4"/>
        <w:spacing w:line="560" w:lineRule="exact"/>
        <w:jc w:val="center"/>
        <w:rPr>
          <w:rFonts w:ascii="宋体" w:hAnsi="宋体" w:cs="方正仿宋_GBK"/>
          <w:color w:val="auto"/>
          <w:spacing w:val="10"/>
          <w:kern w:val="0"/>
          <w:highlight w:val="none"/>
        </w:rPr>
      </w:pPr>
      <w:r>
        <w:rPr>
          <w:rFonts w:hint="eastAsia" w:ascii="宋体" w:hAnsi="宋体" w:cs="方正仿宋_GBK"/>
          <w:color w:val="auto"/>
          <w:kern w:val="0"/>
          <w:highlight w:val="none"/>
        </w:rPr>
        <w:t xml:space="preserve">第四部分  </w:t>
      </w:r>
      <w:r>
        <w:rPr>
          <w:rFonts w:hint="eastAsia" w:ascii="宋体" w:hAnsi="宋体" w:cs="方正仿宋_GBK"/>
          <w:color w:val="auto"/>
          <w:spacing w:val="10"/>
          <w:kern w:val="0"/>
          <w:highlight w:val="none"/>
        </w:rPr>
        <w:t>合同样本</w:t>
      </w:r>
    </w:p>
    <w:bookmarkEnd w:id="32"/>
    <w:p>
      <w:pPr>
        <w:keepNext/>
        <w:keepLines/>
        <w:spacing w:before="260" w:after="260" w:line="500" w:lineRule="exact"/>
        <w:ind w:firstLine="640" w:firstLineChars="200"/>
        <w:outlineLvl w:val="2"/>
        <w:rPr>
          <w:color w:val="auto"/>
          <w:sz w:val="32"/>
          <w:szCs w:val="32"/>
          <w:highlight w:val="none"/>
        </w:rPr>
      </w:pPr>
      <w:r>
        <w:rPr>
          <w:rFonts w:hint="eastAsia"/>
          <w:color w:val="auto"/>
          <w:sz w:val="32"/>
          <w:szCs w:val="32"/>
          <w:highlight w:val="none"/>
        </w:rPr>
        <w:t>一、合同样本</w:t>
      </w:r>
    </w:p>
    <w:p>
      <w:pPr>
        <w:spacing w:beforeLines="50" w:line="500" w:lineRule="exact"/>
        <w:jc w:val="center"/>
        <w:rPr>
          <w:rFonts w:ascii="宋体" w:hAnsi="宋体" w:cs="方正仿宋_GBK"/>
          <w:color w:val="auto"/>
          <w:sz w:val="44"/>
          <w:szCs w:val="44"/>
          <w:highlight w:val="none"/>
        </w:rPr>
      </w:pPr>
      <w:r>
        <w:rPr>
          <w:rFonts w:hint="eastAsia" w:ascii="宋体" w:hAnsi="宋体" w:cs="方正仿宋_GBK"/>
          <w:color w:val="auto"/>
          <w:sz w:val="44"/>
          <w:szCs w:val="44"/>
          <w:highlight w:val="none"/>
        </w:rPr>
        <w:t>采购代理合同</w:t>
      </w:r>
    </w:p>
    <w:p>
      <w:pPr>
        <w:spacing w:beforeLines="50" w:line="500" w:lineRule="exact"/>
        <w:jc w:val="center"/>
        <w:rPr>
          <w:rFonts w:ascii="宋体" w:hAnsi="宋体" w:cs="方正仿宋_GBK"/>
          <w:color w:val="auto"/>
          <w:sz w:val="32"/>
          <w:szCs w:val="32"/>
          <w:highlight w:val="none"/>
        </w:rPr>
      </w:pPr>
      <w:r>
        <w:rPr>
          <w:rFonts w:hint="eastAsia" w:ascii="宋体" w:hAnsi="宋体" w:cs="方正仿宋_GBK"/>
          <w:color w:val="auto"/>
          <w:sz w:val="32"/>
          <w:szCs w:val="32"/>
          <w:highlight w:val="none"/>
        </w:rPr>
        <w:t>（项目号：CQVIE20230522）</w:t>
      </w:r>
    </w:p>
    <w:p>
      <w:pPr>
        <w:spacing w:line="500" w:lineRule="exact"/>
        <w:ind w:right="-34" w:rightChars="-14"/>
        <w:rPr>
          <w:color w:val="auto"/>
          <w:sz w:val="28"/>
          <w:szCs w:val="28"/>
          <w:highlight w:val="none"/>
        </w:rPr>
      </w:pPr>
      <w:r>
        <w:rPr>
          <w:color w:val="auto"/>
          <w:sz w:val="28"/>
          <w:szCs w:val="28"/>
          <w:highlight w:val="none"/>
        </w:rPr>
        <w:t xml:space="preserve">合同编号: </w:t>
      </w:r>
    </w:p>
    <w:p>
      <w:pPr>
        <w:spacing w:line="500" w:lineRule="exact"/>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甲方：重庆工程职业技术学院</w:t>
      </w:r>
    </w:p>
    <w:p>
      <w:pPr>
        <w:spacing w:line="500" w:lineRule="exact"/>
        <w:rPr>
          <w:rFonts w:ascii="宋体" w:hAnsi="宋体" w:cs="方正仿宋_GBK"/>
          <w:b/>
          <w:color w:val="auto"/>
          <w:sz w:val="28"/>
          <w:szCs w:val="28"/>
          <w:highlight w:val="none"/>
        </w:rPr>
      </w:pPr>
      <w:r>
        <w:rPr>
          <w:rFonts w:hint="eastAsia" w:ascii="宋体" w:hAnsi="宋体" w:cs="方正仿宋_GBK"/>
          <w:b/>
          <w:color w:val="auto"/>
          <w:sz w:val="28"/>
          <w:szCs w:val="28"/>
          <w:highlight w:val="none"/>
        </w:rPr>
        <w:t>乙方：</w:t>
      </w:r>
    </w:p>
    <w:p>
      <w:pPr>
        <w:snapToGrid w:val="0"/>
        <w:spacing w:line="500" w:lineRule="exact"/>
        <w:rPr>
          <w:rFonts w:ascii="宋体" w:hAnsi="宋体" w:cs="方正仿宋_GBK"/>
          <w:color w:val="auto"/>
          <w:sz w:val="28"/>
          <w:szCs w:val="28"/>
          <w:highlight w:val="none"/>
        </w:rPr>
      </w:pP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甲乙双方依据《中华人民共和国政府采购法》、《中华人民共和国民法典》、《中华人民共和国招标投标法》以及国家其他相关法律、法规的规定，自愿签署本合同。</w:t>
      </w:r>
    </w:p>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第一条 总则</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双方根据国家法律规定建立委托代理关系，双方严格遵守和执行国家各项方针政策和有关法律、法规和条例规定。双方本着密切配合、分工协作、保证质量、按期完成的原则，共同做好项目的采购工作，并做好采购全过程的保密工作。在本协议执行期间，如与国家新颁布的法律或规定相矛盾，以国家法规为准，并重新修改签署本协议。</w:t>
      </w:r>
    </w:p>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第二条  项目内容及期限</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项目内容：采购代理服务。</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bookmarkStart w:id="33" w:name="_Hlk127449543"/>
      <w:r>
        <w:rPr>
          <w:rFonts w:hint="eastAsia" w:ascii="宋体" w:hAnsi="宋体" w:cs="方正仿宋_GBK"/>
          <w:color w:val="auto"/>
          <w:sz w:val="28"/>
          <w:szCs w:val="28"/>
          <w:highlight w:val="none"/>
        </w:rPr>
        <w:t>项目委托期限：服务合同期限为一年，从 年 月 日至 年 月 日，经</w:t>
      </w:r>
      <w:r>
        <w:rPr>
          <w:rFonts w:hint="eastAsia" w:ascii="宋体" w:hAnsi="宋体" w:cs="方正仿宋_GBK"/>
          <w:color w:val="auto"/>
          <w:sz w:val="28"/>
          <w:szCs w:val="28"/>
          <w:highlight w:val="none"/>
          <w:lang w:val="en-US" w:eastAsia="zh-CN"/>
        </w:rPr>
        <w:t>考评，结果在“良”及以上，</w:t>
      </w:r>
      <w:r>
        <w:rPr>
          <w:rFonts w:hint="eastAsia" w:ascii="宋体" w:hAnsi="宋体" w:cs="方正仿宋_GBK"/>
          <w:color w:val="auto"/>
          <w:sz w:val="28"/>
          <w:szCs w:val="28"/>
          <w:highlight w:val="none"/>
        </w:rPr>
        <w:t>可续签一年。</w:t>
      </w:r>
    </w:p>
    <w:bookmarkEnd w:id="33"/>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第三条  服务内容：</w:t>
      </w:r>
    </w:p>
    <w:p>
      <w:pPr>
        <w:spacing w:line="500" w:lineRule="exact"/>
        <w:ind w:firstLine="560" w:firstLineChars="200"/>
        <w:outlineLvl w:val="2"/>
        <w:rPr>
          <w:rFonts w:ascii="宋体" w:hAnsi="宋体" w:cs="方正仿宋_GBK"/>
          <w:color w:val="auto"/>
          <w:sz w:val="28"/>
          <w:szCs w:val="28"/>
          <w:highlight w:val="none"/>
        </w:rPr>
      </w:pPr>
      <w:r>
        <w:rPr>
          <w:rFonts w:hint="eastAsia" w:ascii="宋体" w:hAnsi="宋体" w:cs="方正仿宋_GBK"/>
          <w:color w:val="auto"/>
          <w:sz w:val="28"/>
          <w:szCs w:val="28"/>
          <w:highlight w:val="none"/>
        </w:rPr>
        <w:t>负责为提供甲方货物、服务类项目/工程类项目（二选一）采购代理服务。服务内容包括但不限于：</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（一）接收复核甲方采购需求，并根据需求情况编制采购文件，送甲方审核批准；</w:t>
      </w:r>
    </w:p>
    <w:p>
      <w:pPr>
        <w:pStyle w:val="3"/>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（二）积极协助甲方了解有关设备、材料的技术、市场以及售后服务等有关情况；</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（三）按照审定的采购文件要求，编写</w:t>
      </w:r>
      <w:r>
        <w:rPr>
          <w:rFonts w:hint="eastAsia" w:cs="方正仿宋_GBK" w:asciiTheme="minorEastAsia" w:hAnsiTheme="minorEastAsia" w:eastAsiaTheme="minorEastAsia"/>
          <w:color w:val="auto"/>
          <w:sz w:val="28"/>
          <w:szCs w:val="28"/>
          <w:highlight w:val="none"/>
          <w:lang w:eastAsia="zh-CN"/>
        </w:rPr>
        <w:t>采购公告</w:t>
      </w:r>
      <w:r>
        <w:rPr>
          <w:rFonts w:hint="eastAsia" w:cs="方正仿宋_GBK" w:asciiTheme="minorEastAsia" w:hAnsiTheme="minorEastAsia" w:eastAsiaTheme="minorEastAsia"/>
          <w:color w:val="auto"/>
          <w:sz w:val="28"/>
          <w:szCs w:val="28"/>
          <w:highlight w:val="none"/>
        </w:rPr>
        <w:t>送审，并负责在市级以上权威媒体发布采购信息；</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（四）负责接受投标人报名并做好报名信息登记；</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（五）向报名资格合格的潜在投标人发售采购文件；</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（六）负责组织采购文件答疑会或对潜在投标人进行书面答疑，并负责整理答疑资料，形成澄清或者补遗通知作为采购文件的一部分通知潜在的投标人；</w:t>
      </w:r>
    </w:p>
    <w:p>
      <w:pPr>
        <w:spacing w:line="520" w:lineRule="exact"/>
        <w:ind w:firstLine="560" w:firstLineChars="200"/>
        <w:outlineLvl w:val="2"/>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（七）向投标人收取项目投标保证金，保证金收取比例应在国家规定范围内，并根据相关规定及时退还保证金；</w:t>
      </w:r>
    </w:p>
    <w:p>
      <w:pPr>
        <w:spacing w:line="520" w:lineRule="exact"/>
        <w:ind w:firstLine="560" w:firstLineChars="200"/>
        <w:outlineLvl w:val="2"/>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（八）</w:t>
      </w:r>
      <w:r>
        <w:rPr>
          <w:rFonts w:hint="eastAsia" w:cs="方正仿宋_GBK" w:asciiTheme="minorEastAsia" w:hAnsiTheme="minorEastAsia" w:eastAsiaTheme="minorEastAsia"/>
          <w:color w:val="auto"/>
          <w:sz w:val="28"/>
          <w:szCs w:val="28"/>
          <w:highlight w:val="none"/>
          <w:lang w:val="en-US" w:eastAsia="zh-CN"/>
        </w:rPr>
        <w:t>分包一：</w:t>
      </w:r>
      <w:r>
        <w:rPr>
          <w:rFonts w:hint="eastAsia" w:cs="方正仿宋_GBK" w:asciiTheme="minorEastAsia" w:hAnsiTheme="minorEastAsia" w:eastAsiaTheme="minorEastAsia"/>
          <w:color w:val="auto"/>
          <w:sz w:val="28"/>
          <w:szCs w:val="28"/>
          <w:highlight w:val="none"/>
        </w:rPr>
        <w:t>政府采购项目应当进入重庆市公共资源交易中心入场交易，其他项目按有利于项目实施的原则，可按相关规定在</w:t>
      </w:r>
      <w:r>
        <w:rPr>
          <w:rFonts w:hint="eastAsia" w:cs="方正仿宋_GBK" w:asciiTheme="minorEastAsia" w:hAnsiTheme="minorEastAsia" w:eastAsiaTheme="minorEastAsia"/>
          <w:color w:val="auto"/>
          <w:sz w:val="28"/>
          <w:szCs w:val="28"/>
          <w:highlight w:val="none"/>
          <w:lang w:val="en-US" w:eastAsia="zh-CN"/>
        </w:rPr>
        <w:t>甲方</w:t>
      </w:r>
      <w:r>
        <w:rPr>
          <w:rFonts w:hint="eastAsia" w:cs="方正仿宋_GBK" w:asciiTheme="minorEastAsia" w:hAnsiTheme="minorEastAsia" w:eastAsiaTheme="minorEastAsia"/>
          <w:color w:val="auto"/>
          <w:sz w:val="28"/>
          <w:szCs w:val="28"/>
          <w:highlight w:val="none"/>
        </w:rPr>
        <w:t>及</w:t>
      </w:r>
      <w:r>
        <w:rPr>
          <w:rFonts w:hint="eastAsia" w:cs="方正仿宋_GBK" w:asciiTheme="minorEastAsia" w:hAnsiTheme="minorEastAsia" w:eastAsiaTheme="minorEastAsia"/>
          <w:color w:val="auto"/>
          <w:sz w:val="28"/>
          <w:szCs w:val="28"/>
          <w:highlight w:val="none"/>
          <w:lang w:val="en-US" w:eastAsia="zh-CN"/>
        </w:rPr>
        <w:t>乙方</w:t>
      </w:r>
      <w:r>
        <w:rPr>
          <w:rFonts w:hint="eastAsia" w:cs="方正仿宋_GBK" w:asciiTheme="minorEastAsia" w:hAnsiTheme="minorEastAsia" w:eastAsiaTheme="minorEastAsia"/>
          <w:color w:val="auto"/>
          <w:sz w:val="28"/>
          <w:szCs w:val="28"/>
          <w:highlight w:val="none"/>
        </w:rPr>
        <w:t>单位内部场地组织开评标会议，并按规定对开评标活动全程录音录像</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分包二：工程类项目采取公开招标的项目应当进入重庆市公共资源交易中心或江津区公共资源交易中心入场交易，其他项目按有利于项目实施的原则或从其相关招标需满足的规范规定等原则确定交易场地组织开评标会议，并按规定对开评标活动全程录音录像；（二选一）</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（九）按照采购文件要求接受投标人的投标，主持开标会议，并承担有关专家评审费、差旅费等，做好开标原始记录；</w:t>
      </w:r>
    </w:p>
    <w:p>
      <w:pPr>
        <w:spacing w:line="520" w:lineRule="exact"/>
        <w:ind w:firstLine="560" w:firstLineChars="200"/>
        <w:outlineLvl w:val="2"/>
        <w:rPr>
          <w:color w:val="auto"/>
          <w:highlight w:val="none"/>
        </w:rPr>
      </w:pPr>
      <w:r>
        <w:rPr>
          <w:rFonts w:hint="eastAsia" w:cs="方正仿宋_GBK" w:asciiTheme="minorEastAsia" w:hAnsiTheme="minorEastAsia" w:eastAsiaTheme="minorEastAsia"/>
          <w:color w:val="auto"/>
          <w:sz w:val="28"/>
          <w:szCs w:val="28"/>
          <w:highlight w:val="none"/>
        </w:rPr>
        <w:t>（十）组织评标会议，协助评标委员会编制《评标报告》，送甲方审核确认；</w:t>
      </w:r>
    </w:p>
    <w:p>
      <w:pPr>
        <w:spacing w:line="520" w:lineRule="exact"/>
        <w:ind w:firstLine="560" w:firstLineChars="200"/>
        <w:outlineLvl w:val="2"/>
        <w:rPr>
          <w:rFonts w:hint="eastAsia" w:cs="方正仿宋_GBK" w:asciiTheme="minorEastAsia" w:hAnsiTheme="minorEastAsia" w:eastAsiaTheme="minorEastAsia"/>
          <w:color w:val="auto"/>
          <w:sz w:val="28"/>
          <w:szCs w:val="28"/>
          <w:highlight w:val="none"/>
          <w:lang w:eastAsia="zh-CN"/>
        </w:rPr>
      </w:pPr>
      <w:r>
        <w:rPr>
          <w:rFonts w:hint="eastAsia" w:cs="方正仿宋_GBK" w:asciiTheme="minorEastAsia" w:hAnsiTheme="minorEastAsia" w:eastAsiaTheme="minorEastAsia"/>
          <w:color w:val="auto"/>
          <w:sz w:val="28"/>
          <w:szCs w:val="28"/>
          <w:highlight w:val="none"/>
        </w:rPr>
        <w:t>（十一）填写、发放中标通知书以及低价风险担保通知书（如有涉及）</w:t>
      </w:r>
      <w:r>
        <w:rPr>
          <w:rFonts w:hint="eastAsia" w:cs="方正仿宋_GBK" w:asciiTheme="minorEastAsia" w:hAnsiTheme="minorEastAsia" w:eastAsiaTheme="minorEastAsia"/>
          <w:color w:val="auto"/>
          <w:sz w:val="28"/>
          <w:szCs w:val="28"/>
          <w:highlight w:val="none"/>
          <w:lang w:eastAsia="zh-CN"/>
        </w:rPr>
        <w:t>；</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（十二）协助甲方与中标单位签订合同，并协助甲方对购销合同进行公示；</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（十三）负责采购资料的整理及归档，并于确定中标人后，向甲方移交一份招投标情况书面报告；</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（十四）负责配合甲方完成所代理项目甲方管理系统数据录入工作；</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五）负责采购资料的整理及归档，并于确定中标人后，向甲方移交采购过程备案资料（备案资料包括但不限于采购过程中产生的全部纸质资料以及开评标活动等相关音视频资料，所有纸质资料应装订成册并形成电子文档，所有音视频资料刻录成光碟一并移交）；</w:t>
      </w:r>
    </w:p>
    <w:p>
      <w:pPr>
        <w:spacing w:line="520" w:lineRule="exact"/>
        <w:ind w:firstLine="560" w:firstLineChars="200"/>
        <w:outlineLvl w:val="2"/>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（十六）按</w:t>
      </w:r>
      <w:r>
        <w:rPr>
          <w:rFonts w:hint="eastAsia" w:cs="方正仿宋_GBK" w:asciiTheme="minorEastAsia" w:hAnsiTheme="minorEastAsia" w:eastAsiaTheme="minorEastAsia"/>
          <w:color w:val="auto"/>
          <w:sz w:val="28"/>
          <w:szCs w:val="28"/>
          <w:highlight w:val="none"/>
          <w:lang w:val="en-US" w:eastAsia="zh-CN"/>
        </w:rPr>
        <w:t>甲方</w:t>
      </w:r>
      <w:r>
        <w:rPr>
          <w:rFonts w:hint="eastAsia" w:cs="方正仿宋_GBK" w:asciiTheme="minorEastAsia" w:hAnsiTheme="minorEastAsia" w:eastAsiaTheme="minorEastAsia"/>
          <w:color w:val="auto"/>
          <w:sz w:val="28"/>
          <w:szCs w:val="28"/>
          <w:highlight w:val="none"/>
        </w:rPr>
        <w:t>要求定期对采购人相关人员进行政策宣传。协助</w:t>
      </w:r>
      <w:r>
        <w:rPr>
          <w:rFonts w:hint="eastAsia" w:cs="方正仿宋_GBK" w:asciiTheme="minorEastAsia" w:hAnsiTheme="minorEastAsia" w:eastAsiaTheme="minorEastAsia"/>
          <w:color w:val="auto"/>
          <w:sz w:val="28"/>
          <w:szCs w:val="28"/>
          <w:highlight w:val="none"/>
          <w:lang w:val="en-US" w:eastAsia="zh-CN"/>
        </w:rPr>
        <w:t>甲方</w:t>
      </w:r>
      <w:r>
        <w:rPr>
          <w:rFonts w:hint="eastAsia" w:cs="方正仿宋_GBK" w:asciiTheme="minorEastAsia" w:hAnsiTheme="minorEastAsia" w:eastAsiaTheme="minorEastAsia"/>
          <w:color w:val="auto"/>
          <w:sz w:val="28"/>
          <w:szCs w:val="28"/>
          <w:highlight w:val="none"/>
        </w:rPr>
        <w:t>办理审计/巡视相关工作。</w:t>
      </w:r>
    </w:p>
    <w:p>
      <w:pPr>
        <w:spacing w:line="520" w:lineRule="exact"/>
        <w:ind w:firstLine="560" w:firstLineChars="200"/>
        <w:outlineLvl w:val="2"/>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（十七）完成</w:t>
      </w:r>
      <w:r>
        <w:rPr>
          <w:rFonts w:hint="eastAsia" w:cs="方正仿宋_GBK" w:asciiTheme="minorEastAsia" w:hAnsiTheme="minorEastAsia" w:eastAsiaTheme="minorEastAsia"/>
          <w:color w:val="auto"/>
          <w:sz w:val="28"/>
          <w:szCs w:val="28"/>
          <w:highlight w:val="none"/>
          <w:lang w:val="en-US" w:eastAsia="zh-CN"/>
        </w:rPr>
        <w:t>甲方</w:t>
      </w:r>
      <w:r>
        <w:rPr>
          <w:rFonts w:hint="eastAsia" w:cs="方正仿宋_GBK" w:asciiTheme="minorEastAsia" w:hAnsiTheme="minorEastAsia" w:eastAsiaTheme="minorEastAsia"/>
          <w:color w:val="auto"/>
          <w:sz w:val="28"/>
          <w:szCs w:val="28"/>
          <w:highlight w:val="none"/>
        </w:rPr>
        <w:t>交办的与采购代理有关的其它事务。</w:t>
      </w:r>
    </w:p>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第四条 服务要求</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乙方必须严格执行国家采购法律法规，符合代理项目的招标采购流程，不得有营私舞弊的行为；自觉接受甲方的业务指导和监督管理，全力维护甲方的合法权益；运用自身的专业技能为甲方做好采购代理工作，并提供与招标采购项目有关的其它服务；标书费及报名费的收取应当符合政府采购相关法律法规规定</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rPr>
        <w:t>发放电子采购（招标）文件的，不得收取采购文件及报名费用。</w:t>
      </w:r>
    </w:p>
    <w:p>
      <w:pPr>
        <w:pStyle w:val="3"/>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接受采购计划后，应当根据项目实际制定招标采购过程工作进度表，以便让甲方了解整个招标工作的进展情况；在服务期限内，由甲方根据工作的特点和要求具体确定时间，乙方应当在约定的时间内完成相关工作。</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三 )乙方向甲方移交的所有有关招投标活动的资料，均须通过书面形式移交，甲方收悉后，将按审核意见予以回函；甲方向乙方提出的意见建议，乙方应予以审核，如与采购法规不符，乙方应当予以拒绝并提出相应意见，确保代理项目合法、合规。</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 xml:space="preserve">（四）代理过程中，如遇有投标人质疑、投诉或作出情况说明等，乙方在收到相关资料后，应根据自身专业知识及工作经验，分析原因，向甲方提出合法、合规的处理意见建议，并负责对相关问题进行回复。 </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（五）乙方必须对甲方单位信息进行保密，在未经甲方事先书面同意的情况下，任何时候均不得将招标信息的任何内容或者从甲方处知晓的关于甲方单位的任何信息泄露给任何其它方。</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（六）乙方承接每个项目前，应充分了解掌握采购项目需求情况，紧贴项目实际拟制各类采购文书，严禁随意将以往的采购文件复制剪贴，糊弄应付，甚至错漏百出。</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（七）乙方须无条件配合甲方接受各级审计、巡视工作；采购资料（含音视频资料）保存期限为招标结束之日起至少15年。本义务不因合同履行期满而免除。</w:t>
      </w:r>
    </w:p>
    <w:p>
      <w:pPr>
        <w:spacing w:line="520" w:lineRule="exact"/>
        <w:ind w:firstLine="560" w:firstLineChars="200"/>
        <w:outlineLvl w:val="2"/>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（八）合同履约过程中，</w:t>
      </w:r>
      <w:r>
        <w:rPr>
          <w:rFonts w:hint="eastAsia" w:cs="方正仿宋_GBK" w:asciiTheme="minorEastAsia" w:hAnsiTheme="minorEastAsia" w:eastAsiaTheme="minorEastAsia"/>
          <w:color w:val="auto"/>
          <w:sz w:val="28"/>
          <w:szCs w:val="28"/>
          <w:highlight w:val="none"/>
          <w:lang w:val="en-US" w:eastAsia="zh-CN"/>
        </w:rPr>
        <w:t>甲方将按照考评</w:t>
      </w:r>
      <w:r>
        <w:rPr>
          <w:rFonts w:hint="eastAsia" w:cs="方正仿宋_GBK" w:asciiTheme="minorEastAsia" w:hAnsiTheme="minorEastAsia" w:eastAsiaTheme="minorEastAsia"/>
          <w:color w:val="auto"/>
          <w:sz w:val="28"/>
          <w:szCs w:val="28"/>
          <w:highlight w:val="none"/>
        </w:rPr>
        <w:t>指标</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见附件3</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rPr>
        <w:t>对</w:t>
      </w:r>
      <w:r>
        <w:rPr>
          <w:rFonts w:hint="eastAsia" w:cs="方正仿宋_GBK" w:asciiTheme="minorEastAsia" w:hAnsiTheme="minorEastAsia" w:eastAsiaTheme="minorEastAsia"/>
          <w:color w:val="auto"/>
          <w:sz w:val="28"/>
          <w:szCs w:val="28"/>
          <w:highlight w:val="none"/>
          <w:lang w:val="en-US" w:eastAsia="zh-CN"/>
        </w:rPr>
        <w:t>乙方每年</w:t>
      </w:r>
      <w:r>
        <w:rPr>
          <w:rFonts w:hint="eastAsia" w:cs="方正仿宋_GBK" w:asciiTheme="minorEastAsia" w:hAnsiTheme="minorEastAsia" w:eastAsiaTheme="minorEastAsia"/>
          <w:color w:val="auto"/>
          <w:sz w:val="28"/>
          <w:szCs w:val="28"/>
          <w:highlight w:val="none"/>
        </w:rPr>
        <w:t>实施</w:t>
      </w:r>
      <w:r>
        <w:rPr>
          <w:rFonts w:hint="eastAsia" w:cs="方正仿宋_GBK" w:asciiTheme="minorEastAsia" w:hAnsiTheme="minorEastAsia" w:eastAsiaTheme="minorEastAsia"/>
          <w:color w:val="auto"/>
          <w:sz w:val="28"/>
          <w:szCs w:val="28"/>
          <w:highlight w:val="none"/>
          <w:lang w:val="en-US" w:eastAsia="zh-CN"/>
        </w:rPr>
        <w:t>一次</w:t>
      </w:r>
      <w:r>
        <w:rPr>
          <w:rFonts w:hint="eastAsia" w:cs="方正仿宋_GBK" w:asciiTheme="minorEastAsia" w:hAnsiTheme="minorEastAsia" w:eastAsiaTheme="minorEastAsia"/>
          <w:color w:val="auto"/>
          <w:sz w:val="28"/>
          <w:szCs w:val="28"/>
          <w:highlight w:val="none"/>
        </w:rPr>
        <w:t>量化考评。评价分为</w:t>
      </w:r>
      <w:r>
        <w:rPr>
          <w:rFonts w:hint="eastAsia" w:cs="方正仿宋_GBK" w:asciiTheme="minorEastAsia" w:hAnsiTheme="minorEastAsia" w:eastAsiaTheme="minorEastAsia"/>
          <w:color w:val="auto"/>
          <w:sz w:val="28"/>
          <w:szCs w:val="28"/>
          <w:highlight w:val="none"/>
          <w:lang w:val="en-US" w:eastAsia="zh-CN"/>
        </w:rPr>
        <w:t>四</w:t>
      </w:r>
      <w:r>
        <w:rPr>
          <w:rFonts w:hint="eastAsia" w:cs="方正仿宋_GBK" w:asciiTheme="minorEastAsia" w:hAnsiTheme="minorEastAsia" w:eastAsiaTheme="minorEastAsia"/>
          <w:color w:val="auto"/>
          <w:sz w:val="28"/>
          <w:szCs w:val="28"/>
          <w:highlight w:val="none"/>
        </w:rPr>
        <w:t>个等级</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优</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90分及以上</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良</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85-89</w:t>
      </w:r>
      <w:r>
        <w:rPr>
          <w:rFonts w:hint="eastAsia" w:cs="方正仿宋_GBK" w:asciiTheme="minorEastAsia" w:hAnsiTheme="minorEastAsia" w:eastAsiaTheme="minorEastAsia"/>
          <w:color w:val="auto"/>
          <w:sz w:val="28"/>
          <w:szCs w:val="28"/>
          <w:highlight w:val="none"/>
          <w:lang w:eastAsia="zh-CN"/>
        </w:rPr>
        <w:t>）、</w:t>
      </w:r>
      <w:r>
        <w:rPr>
          <w:rFonts w:hint="eastAsia" w:cs="方正仿宋_GBK" w:asciiTheme="minorEastAsia" w:hAnsiTheme="minorEastAsia" w:eastAsiaTheme="minorEastAsia"/>
          <w:color w:val="auto"/>
          <w:sz w:val="28"/>
          <w:szCs w:val="28"/>
          <w:highlight w:val="none"/>
          <w:lang w:val="en-US" w:eastAsia="zh-CN"/>
        </w:rPr>
        <w:t>中（80-84）、差（80分以下）</w:t>
      </w:r>
      <w:r>
        <w:rPr>
          <w:rFonts w:hint="eastAsia" w:cs="方正仿宋_GBK" w:asciiTheme="minorEastAsia" w:hAnsiTheme="minorEastAsia" w:eastAsiaTheme="minorEastAsia"/>
          <w:color w:val="auto"/>
          <w:sz w:val="28"/>
          <w:szCs w:val="28"/>
          <w:highlight w:val="none"/>
        </w:rPr>
        <w:t>。</w:t>
      </w:r>
    </w:p>
    <w:p>
      <w:pPr>
        <w:spacing w:line="520" w:lineRule="exact"/>
        <w:ind w:firstLine="560" w:firstLineChars="200"/>
        <w:outlineLvl w:val="2"/>
        <w:rPr>
          <w:color w:val="auto"/>
          <w:highlight w:val="none"/>
        </w:rPr>
      </w:pPr>
      <w:r>
        <w:rPr>
          <w:rFonts w:hint="eastAsia" w:cs="方正仿宋_GBK" w:asciiTheme="minorEastAsia" w:hAnsiTheme="minorEastAsia" w:eastAsiaTheme="minorEastAsia"/>
          <w:color w:val="auto"/>
          <w:sz w:val="28"/>
          <w:szCs w:val="28"/>
          <w:highlight w:val="none"/>
        </w:rPr>
        <w:t>乙方同意甲方按照上述考评制度进行考评，认可考评结果，并承担与之相对应的法律后果。若乙方拒不接受考评、拒不认可考评结果或拒不承担法律后果的，甲方可终止采购代理服务合同，扣除履约保证金，乙方承担相应法律责任。</w:t>
      </w:r>
    </w:p>
    <w:p>
      <w:pPr>
        <w:rPr>
          <w:color w:val="auto"/>
          <w:highlight w:val="none"/>
        </w:rPr>
      </w:pP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甲方联系人：</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联系电话：</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乙方联系人：</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联系电话：</w:t>
      </w:r>
    </w:p>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第五条 甲方权利与职责</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1、甲方权利</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（1）甲方有依法确定采购需求、采购文件的权利。</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（2）甲方有督促、监督乙方依法履行合同的权利。</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（3）乙方有违反政府采购法律法规行为的，甲方有权单方终止合同，并追究乙方违约责任。</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4）合同履行期间，如发生危及社会安全稳定的重大事件或甲方遭遇不可抗力因素（不可抗力因素包括但不限于甲方上级部门明确规定严禁委托招标的情况），甲方均有权单方终止合同，且不承担因此给乙方造成的损失。</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5）甲方有权根据业务工作情况和需要决定是否续签。采购代理服务合同未续签，乙方将被移出甲方采购代理机构库，除履约保证金外（采购代理人有违约行为的，应当先扣减违约金后再返还），甲方不向乙方支付其余费用。</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甲方在合同履行期限内，有权单方面终止采购代理服务合同，双方均不承担违约责任。若甲方终止合同并非因为乙方违约，甲方应当返还履约保证金；若乙方存在违约行为，甲方依据违约条款终止合同，乙方承担相应经济责任和法律责任，履约保证金应当优先赔偿甲方的损失且并不以此为限，若有剩余再返还。除此之外甲方不需向乙方支付任何费用（包括不支付尚未完成招标工作项目的采购代理费）</w:t>
      </w:r>
      <w:r>
        <w:rPr>
          <w:rFonts w:hint="eastAsia" w:cs="方正仿宋_GBK" w:asciiTheme="minorEastAsia" w:hAnsiTheme="minorEastAsia" w:eastAsiaTheme="minorEastAsia"/>
          <w:color w:val="auto"/>
          <w:sz w:val="28"/>
          <w:szCs w:val="28"/>
          <w:highlight w:val="none"/>
        </w:rPr>
        <w:t>，双方另行达成协议的除外。</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2、甲方职责</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（1）配合乙方做好项目招标的相关工作，为乙方提供编制采购文件所需的技术资料和有关文件，并在整个招标过程中给予乙方必要的支持。</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（2）对乙方在代理期间和代理权限内提出的与项目有关的问题，予以及时答复和充分释明。</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（3）配合乙方同步在相关媒体平台上发布有关采购信息。</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（4）对乙方报送的采购实施方案、采购文件、</w:t>
      </w:r>
      <w:r>
        <w:rPr>
          <w:rFonts w:hint="eastAsia" w:ascii="宋体" w:hAnsi="宋体" w:cs="方正仿宋_GBK"/>
          <w:color w:val="auto"/>
          <w:sz w:val="28"/>
          <w:szCs w:val="28"/>
          <w:highlight w:val="none"/>
          <w:lang w:eastAsia="zh-CN"/>
        </w:rPr>
        <w:t>采购公告</w:t>
      </w:r>
      <w:r>
        <w:rPr>
          <w:rFonts w:hint="eastAsia" w:ascii="宋体" w:hAnsi="宋体" w:cs="方正仿宋_GBK"/>
          <w:color w:val="auto"/>
          <w:sz w:val="28"/>
          <w:szCs w:val="28"/>
          <w:highlight w:val="none"/>
        </w:rPr>
        <w:t>以及质疑答复等采购文书进行审核确认，并指派采购人代表参与并监督评审专家抽选、开标评标等采购活动。</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（5）按照国家有关法律法规以及《评标报告》之结论依法确定中标（成交）人。</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（6）确保乙方有独立履约且不受任何干扰的工作环境。</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（7）及时向乙方传达上级关于代理项目的有关指示要求，并督促乙方按上级指示要求贯彻落实。</w:t>
      </w:r>
    </w:p>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第六条 乙方权利与职责</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1、乙方权利</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（1）乙方有依法在本合同范围内组织政府采购活动且不受任何干扰的权利。</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（2）乙方在依法履约过程中遇有不明事项，有要求甲方明示的权利。</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（3）乙方有依照本合同约定收取采购代理服务费用的权利。</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2、乙方职责</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接收并审核甲方提交的采购需求，如采购信息不详实、不准确或者与采购法规不符，影响采购活动正常实施的，乙方应向甲方提供咨询服务，并积极配合甲方论证完善有关采购信息，直至满足采购活动实施条件。</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（2）拟制采购实施方案并送甲方审核确认，采购实施方案主要包括项目编号、采购方式、组织分工、实施步骤等。</w:t>
      </w:r>
    </w:p>
    <w:p>
      <w:pPr>
        <w:spacing w:line="520" w:lineRule="exact"/>
        <w:ind w:firstLine="560" w:firstLineChars="200"/>
        <w:outlineLvl w:val="2"/>
        <w:rPr>
          <w:rFonts w:cs="方正仿宋_GBK" w:asciiTheme="minorEastAsia" w:hAnsiTheme="minorEastAsia" w:eastAsiaTheme="minorEastAsia"/>
          <w:color w:val="auto"/>
          <w:sz w:val="28"/>
          <w:szCs w:val="28"/>
          <w:highlight w:val="none"/>
        </w:rPr>
      </w:pPr>
      <w:r>
        <w:rPr>
          <w:rFonts w:hint="eastAsia" w:ascii="宋体" w:hAnsi="宋体" w:cs="方正仿宋_GBK"/>
          <w:color w:val="auto"/>
          <w:sz w:val="28"/>
          <w:szCs w:val="28"/>
          <w:highlight w:val="none"/>
        </w:rPr>
        <w:t>（3）根据甲方采购需求以及国家有关法律法规及政策规定，编制采购文件、</w:t>
      </w:r>
      <w:r>
        <w:rPr>
          <w:rFonts w:hint="eastAsia" w:ascii="宋体" w:hAnsi="宋体" w:cs="方正仿宋_GBK"/>
          <w:color w:val="auto"/>
          <w:sz w:val="28"/>
          <w:szCs w:val="28"/>
          <w:highlight w:val="none"/>
          <w:lang w:eastAsia="zh-CN"/>
        </w:rPr>
        <w:t>采购公告</w:t>
      </w:r>
      <w:r>
        <w:rPr>
          <w:rFonts w:hint="eastAsia" w:ascii="宋体" w:hAnsi="宋体" w:cs="方正仿宋_GBK"/>
          <w:color w:val="auto"/>
          <w:sz w:val="28"/>
          <w:szCs w:val="28"/>
          <w:highlight w:val="none"/>
        </w:rPr>
        <w:t>并送甲方审核确认，并负责在国家权威媒体上发布采购信息。</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p>
    <w:p>
      <w:pPr>
        <w:spacing w:line="520" w:lineRule="exact"/>
        <w:ind w:firstLine="560" w:firstLineChars="200"/>
        <w:outlineLvl w:val="2"/>
        <w:rPr>
          <w:rFonts w:ascii="宋体" w:hAnsi="宋体" w:cs="方正仿宋_GBK"/>
          <w:color w:val="auto"/>
          <w:sz w:val="28"/>
          <w:szCs w:val="28"/>
          <w:highlight w:val="none"/>
        </w:rPr>
      </w:pPr>
      <w:r>
        <w:rPr>
          <w:rFonts w:hint="eastAsia" w:ascii="宋体" w:hAnsi="宋体" w:cs="方正仿宋_GBK"/>
          <w:color w:val="auto"/>
          <w:sz w:val="28"/>
          <w:szCs w:val="28"/>
          <w:highlight w:val="none"/>
        </w:rPr>
        <w:t>（4）按照</w:t>
      </w:r>
      <w:r>
        <w:rPr>
          <w:rFonts w:hint="eastAsia" w:ascii="宋体" w:hAnsi="宋体" w:cs="方正仿宋_GBK"/>
          <w:color w:val="auto"/>
          <w:sz w:val="28"/>
          <w:szCs w:val="28"/>
          <w:highlight w:val="none"/>
          <w:lang w:eastAsia="zh-CN"/>
        </w:rPr>
        <w:t>采购公告</w:t>
      </w:r>
      <w:r>
        <w:rPr>
          <w:rFonts w:hint="eastAsia" w:ascii="宋体" w:hAnsi="宋体" w:cs="方正仿宋_GBK"/>
          <w:color w:val="auto"/>
          <w:sz w:val="28"/>
          <w:szCs w:val="28"/>
          <w:highlight w:val="none"/>
        </w:rPr>
        <w:t>上确定的时间、地点发售采购文件，</w:t>
      </w:r>
      <w:r>
        <w:rPr>
          <w:rFonts w:hint="eastAsia" w:cs="方正仿宋_GBK" w:asciiTheme="minorEastAsia" w:hAnsiTheme="minorEastAsia" w:eastAsiaTheme="minorEastAsia"/>
          <w:color w:val="auto"/>
          <w:sz w:val="28"/>
          <w:szCs w:val="28"/>
          <w:highlight w:val="none"/>
        </w:rPr>
        <w:t>标书费及报名费的收取应当符合政府采购相关法律法规规定</w:t>
      </w:r>
      <w:r>
        <w:rPr>
          <w:rFonts w:hint="eastAsia" w:ascii="宋体" w:hAnsi="宋体" w:cs="方正仿宋_GBK"/>
          <w:color w:val="auto"/>
          <w:sz w:val="28"/>
          <w:szCs w:val="28"/>
          <w:highlight w:val="none"/>
        </w:rPr>
        <w:t>；</w:t>
      </w:r>
      <w:r>
        <w:rPr>
          <w:rFonts w:hint="eastAsia" w:cs="方正仿宋_GBK" w:asciiTheme="minorEastAsia" w:hAnsiTheme="minorEastAsia" w:eastAsiaTheme="minorEastAsia"/>
          <w:color w:val="auto"/>
          <w:sz w:val="28"/>
          <w:szCs w:val="28"/>
          <w:highlight w:val="none"/>
        </w:rPr>
        <w:t>发放电子采购（招标）文件的，不得收取采购文件及报名费用。</w:t>
      </w:r>
      <w:r>
        <w:rPr>
          <w:rFonts w:hint="eastAsia" w:ascii="宋体" w:hAnsi="宋体" w:cs="方正仿宋_GBK"/>
          <w:color w:val="auto"/>
          <w:sz w:val="28"/>
          <w:szCs w:val="28"/>
          <w:highlight w:val="none"/>
        </w:rPr>
        <w:t>乙方应对潜在投标人的名称、数量以及可能影响公平竞争的有关招标投标的其他情况依法保密，如甲方有要求，乙方可以书面形式向甲方通报报名情况。</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5）组织采购文件答疑会或对潜在投标人进行书面答疑，收悉投标人咨询、质疑、投诉或情况说明等相关材料后，应根据自身专业知识及工作经验，分析原因，以书面函件形式向甲方提出合法、合规地处理意见建议，其中，有关产品质量技术参数的，由甲方负责答疑，答疑内容经乙方审核确认；有关采购文件其他条款的，由乙方负责答疑，答疑内容经甲方审核确认。答疑内容确认后，由乙方在法定期限内形成澄清或者补遗通知作为采购文件的一部分通知潜在投标人。</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（6）向投标人收取项目投标保证金，保证金收取比例应在国家规定范围内，并根据相关规定及时退还保证金。</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（7）根据甲方要求，协调租赁重庆市公共资源交易中心</w:t>
      </w:r>
      <w:r>
        <w:rPr>
          <w:rFonts w:hint="eastAsia" w:cs="方正仿宋_GBK" w:asciiTheme="minorEastAsia" w:hAnsiTheme="minorEastAsia" w:eastAsiaTheme="minorEastAsia"/>
          <w:color w:val="auto"/>
          <w:sz w:val="28"/>
          <w:szCs w:val="28"/>
          <w:highlight w:val="none"/>
        </w:rPr>
        <w:t>或江津区公共资源交易中心场地</w:t>
      </w:r>
      <w:r>
        <w:rPr>
          <w:rFonts w:hint="eastAsia" w:ascii="宋体" w:hAnsi="宋体" w:cs="方正仿宋_GBK"/>
          <w:color w:val="auto"/>
          <w:sz w:val="28"/>
          <w:szCs w:val="28"/>
          <w:highlight w:val="none"/>
        </w:rPr>
        <w:t>的开评标场所或利用自身条件自行组织开评标会议；乙方自行组织开评标会议时，应提供符合要求的监控设施设备。</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（8）根据项目需求，在政府采购规定的评审专家库中随机抽选评审专家，依法组建评标委员会。</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（9）按照采购文件要求接受投标人的投标，主持开标会议，做好开标原始记录，并承担有关专家评审费、差旅费等。</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（10）组织评标会议，协助评标委员会编制《评标报告》。</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（11）负责填写、发放《中标通知书》。</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（12）协助甲方与中标单位签订合同，并协助甲方对购销合同进行公示。</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（13）负责配合甲方完成所代理项目甲方管理系统数据录入工作。</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（14）采购合同签订后，</w:t>
      </w:r>
      <w:r>
        <w:rPr>
          <w:rFonts w:hint="eastAsia" w:cs="方正仿宋_GBK" w:asciiTheme="minorEastAsia" w:hAnsiTheme="minorEastAsia" w:eastAsiaTheme="minorEastAsia"/>
          <w:color w:val="auto"/>
          <w:sz w:val="28"/>
          <w:szCs w:val="28"/>
          <w:highlight w:val="none"/>
        </w:rPr>
        <w:t>向甲方移交</w:t>
      </w:r>
      <w:r>
        <w:rPr>
          <w:rFonts w:hint="eastAsia" w:ascii="宋体" w:hAnsi="宋体" w:cs="方正仿宋_GBK"/>
          <w:color w:val="auto"/>
          <w:sz w:val="28"/>
          <w:szCs w:val="28"/>
          <w:highlight w:val="none"/>
        </w:rPr>
        <w:t>整个</w:t>
      </w:r>
      <w:r>
        <w:rPr>
          <w:rFonts w:hint="eastAsia" w:cs="方正仿宋_GBK" w:asciiTheme="minorEastAsia" w:hAnsiTheme="minorEastAsia" w:eastAsiaTheme="minorEastAsia"/>
          <w:color w:val="auto"/>
          <w:sz w:val="28"/>
          <w:szCs w:val="28"/>
          <w:highlight w:val="none"/>
        </w:rPr>
        <w:t>采购过程完整备案资料（备案资料包括但不限于采购过程中产生的全部纸质资料以及开评标活动等相关音视频资料，所有纸质资料应装订成册并形成电子文档，所有音视频资料刻录成光碟一并移交）；</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（15）乙方按照法律、法规要求做好采购原始资料的归档保存，并无条件配合甲方接受上级审计</w:t>
      </w:r>
      <w:r>
        <w:rPr>
          <w:rFonts w:hint="eastAsia" w:cs="方正仿宋_GBK" w:asciiTheme="minorEastAsia" w:hAnsiTheme="minorEastAsia" w:eastAsiaTheme="minorEastAsia"/>
          <w:color w:val="auto"/>
          <w:sz w:val="28"/>
          <w:szCs w:val="28"/>
          <w:highlight w:val="none"/>
        </w:rPr>
        <w:t>、巡视工作</w:t>
      </w:r>
      <w:r>
        <w:rPr>
          <w:rFonts w:hint="eastAsia" w:ascii="宋体" w:hAnsi="宋体" w:cs="方正仿宋_GBK"/>
          <w:color w:val="auto"/>
          <w:sz w:val="28"/>
          <w:szCs w:val="28"/>
          <w:highlight w:val="none"/>
        </w:rPr>
        <w:t>。采购资料（含音视频资料）保存期限为从招标结束之日起至少15年。本义务不因合同履行期满而免除。</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（16）接受甲方上级部门关于代理项目的有关指示要求，并遵照执行；维护甲方的合法权益，对违法的代理事项和要求予以拒绝并作出解释。</w:t>
      </w:r>
    </w:p>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第七条 采购代理服务费</w:t>
      </w:r>
    </w:p>
    <w:p>
      <w:pPr>
        <w:autoSpaceDE w:val="0"/>
        <w:autoSpaceDN w:val="0"/>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货物、服务、工程类采购代理服务费在下表收费标准基础上打折收取。</w:t>
      </w:r>
    </w:p>
    <w:tbl>
      <w:tblPr>
        <w:tblStyle w:val="21"/>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3"/>
        <w:gridCol w:w="1842"/>
        <w:gridCol w:w="237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413" w:type="dxa"/>
            <w:tcBorders>
              <w:tl2br w:val="single" w:color="auto" w:sz="4" w:space="0"/>
            </w:tcBorders>
          </w:tcPr>
          <w:p>
            <w:pPr>
              <w:spacing w:line="360" w:lineRule="exact"/>
              <w:jc w:val="right"/>
              <w:rPr>
                <w:rFonts w:cs="方正仿宋_GBK" w:asciiTheme="minorEastAsia" w:hAnsiTheme="minorEastAsia" w:eastAsiaTheme="minorEastAsia"/>
                <w:color w:val="auto"/>
                <w:sz w:val="28"/>
                <w:szCs w:val="28"/>
                <w:highlight w:val="none"/>
              </w:rPr>
            </w:pPr>
            <w:r>
              <w:rPr>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线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连接符 2"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j1Y8DPABAADkAwAADgAAAAAAAAABACAAAAAlAQAAZHJzL2Uyb0RvYy54bWxQSwUGAAAA&#10;AAYABgBZAQAAhwUAAAAA&#10;">
                      <v:fill on="f" focussize="0,0"/>
                      <v:stroke color="#000000" joinstyle="round"/>
                      <v:imagedata o:title=""/>
                      <o:lock v:ext="edit" aspectratio="f"/>
                    </v:line>
                  </w:pict>
                </mc:Fallback>
              </mc:AlternateContent>
            </w:r>
            <w:r>
              <w:rPr>
                <w:rFonts w:hint="eastAsia" w:cs="方正仿宋_GBK" w:asciiTheme="minorEastAsia" w:hAnsiTheme="minorEastAsia" w:eastAsiaTheme="minorEastAsia"/>
                <w:color w:val="auto"/>
                <w:sz w:val="28"/>
                <w:szCs w:val="28"/>
                <w:highlight w:val="none"/>
              </w:rPr>
              <w:t>项目</w:t>
            </w:r>
            <w:r>
              <w:rPr>
                <w:rFonts w:cs="方正仿宋_GBK" w:asciiTheme="minorEastAsia" w:hAnsiTheme="minorEastAsia" w:eastAsiaTheme="minorEastAsia"/>
                <w:color w:val="auto"/>
                <w:sz w:val="28"/>
                <w:szCs w:val="28"/>
                <w:highlight w:val="none"/>
              </w:rPr>
              <w:t>类型</w:t>
            </w:r>
          </w:p>
          <w:p>
            <w:pPr>
              <w:spacing w:line="360" w:lineRule="exact"/>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中标金额（万元）</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货物</w:t>
            </w:r>
            <w:r>
              <w:rPr>
                <w:rFonts w:hint="eastAsia" w:cs="方正仿宋_GBK" w:asciiTheme="minorEastAsia" w:hAnsiTheme="minorEastAsia" w:eastAsiaTheme="minorEastAsia"/>
                <w:color w:val="auto"/>
                <w:sz w:val="28"/>
                <w:szCs w:val="28"/>
                <w:highlight w:val="none"/>
              </w:rPr>
              <w:t>类</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服务</w:t>
            </w:r>
            <w:r>
              <w:rPr>
                <w:rFonts w:hint="eastAsia" w:cs="方正仿宋_GBK" w:asciiTheme="minorEastAsia" w:hAnsiTheme="minorEastAsia" w:eastAsiaTheme="minorEastAsia"/>
                <w:color w:val="auto"/>
                <w:sz w:val="28"/>
                <w:szCs w:val="28"/>
                <w:highlight w:val="none"/>
              </w:rPr>
              <w:t>类</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100及以下</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100-500（含500）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1.1%</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0.8%</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500-1000（含1000）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0.8%</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0.45%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1000-5000（含5000）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0.25%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5000-10000（含10000）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0.25%</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0.1%</w:t>
            </w:r>
          </w:p>
        </w:tc>
        <w:tc>
          <w:tcPr>
            <w:tcW w:w="2377"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cs="方正仿宋_GBK" w:asciiTheme="minorEastAsia" w:hAnsiTheme="minorEastAsia" w:eastAsiaTheme="minorEastAsia"/>
                <w:color w:val="auto"/>
                <w:sz w:val="28"/>
                <w:szCs w:val="28"/>
                <w:highlight w:val="none"/>
              </w:rPr>
              <w:t>10000-</w:t>
            </w:r>
            <w:r>
              <w:rPr>
                <w:rFonts w:hint="eastAsia" w:cs="方正仿宋_GBK" w:asciiTheme="minorEastAsia" w:hAnsiTheme="minorEastAsia" w:eastAsiaTheme="minorEastAsia"/>
                <w:color w:val="auto"/>
                <w:sz w:val="28"/>
                <w:szCs w:val="28"/>
                <w:highlight w:val="none"/>
              </w:rPr>
              <w:t>100000</w:t>
            </w:r>
            <w:r>
              <w:rPr>
                <w:rFonts w:cs="方正仿宋_GBK" w:asciiTheme="minorEastAsia" w:hAnsiTheme="minorEastAsia" w:eastAsiaTheme="minorEastAsia"/>
                <w:color w:val="auto"/>
                <w:sz w:val="28"/>
                <w:szCs w:val="28"/>
                <w:highlight w:val="none"/>
              </w:rPr>
              <w:t>（含</w:t>
            </w:r>
            <w:r>
              <w:rPr>
                <w:rFonts w:hint="eastAsia" w:cs="方正仿宋_GBK" w:asciiTheme="minorEastAsia" w:hAnsiTheme="minorEastAsia" w:eastAsiaTheme="minorEastAsia"/>
                <w:color w:val="auto"/>
                <w:sz w:val="28"/>
                <w:szCs w:val="28"/>
                <w:highlight w:val="none"/>
              </w:rPr>
              <w:t>10</w:t>
            </w:r>
            <w:r>
              <w:rPr>
                <w:rFonts w:cs="方正仿宋_GBK" w:asciiTheme="minorEastAsia" w:hAnsiTheme="minorEastAsia" w:eastAsiaTheme="minorEastAsia"/>
                <w:color w:val="auto"/>
                <w:sz w:val="28"/>
                <w:szCs w:val="28"/>
                <w:highlight w:val="none"/>
              </w:rPr>
              <w:t>0000）</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0.05</w:t>
            </w:r>
            <w:r>
              <w:rPr>
                <w:rFonts w:cs="方正仿宋_GBK" w:asciiTheme="minorEastAsia" w:hAnsiTheme="minorEastAsia" w:eastAsiaTheme="minorEastAsia"/>
                <w:color w:val="auto"/>
                <w:sz w:val="28"/>
                <w:szCs w:val="28"/>
                <w:highlight w:val="none"/>
              </w:rPr>
              <w:t>%</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0.05</w:t>
            </w:r>
            <w:r>
              <w:rPr>
                <w:rFonts w:cs="方正仿宋_GBK" w:asciiTheme="minorEastAsia" w:hAnsiTheme="minorEastAsia" w:eastAsiaTheme="minorEastAsia"/>
                <w:color w:val="auto"/>
                <w:sz w:val="28"/>
                <w:szCs w:val="28"/>
                <w:highlight w:val="none"/>
              </w:rPr>
              <w:t>%</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3"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100000以上</w:t>
            </w:r>
          </w:p>
        </w:tc>
        <w:tc>
          <w:tcPr>
            <w:tcW w:w="1842" w:type="dxa"/>
            <w:vAlign w:val="center"/>
          </w:tcPr>
          <w:p>
            <w:pPr>
              <w:spacing w:line="360" w:lineRule="exact"/>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0.01%</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0.01%</w:t>
            </w:r>
          </w:p>
        </w:tc>
        <w:tc>
          <w:tcPr>
            <w:tcW w:w="2377" w:type="dxa"/>
            <w:vAlign w:val="center"/>
          </w:tcPr>
          <w:p>
            <w:pPr>
              <w:jc w:val="cente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0.01%</w:t>
            </w:r>
          </w:p>
        </w:tc>
      </w:tr>
    </w:tbl>
    <w:p>
      <w:pPr>
        <w:autoSpaceDE w:val="0"/>
        <w:autoSpaceDN w:val="0"/>
        <w:spacing w:line="52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注：采购代理服务收费按差额定率累进法计算。例如：某</w:t>
      </w:r>
      <w:r>
        <w:rPr>
          <w:rFonts w:hint="eastAsia" w:ascii="宋体" w:hAnsi="宋体" w:cs="方正仿宋_GBK"/>
          <w:color w:val="auto"/>
          <w:sz w:val="28"/>
          <w:szCs w:val="28"/>
          <w:highlight w:val="none"/>
          <w:lang w:val="en-US" w:eastAsia="zh-CN"/>
        </w:rPr>
        <w:t>货物</w:t>
      </w:r>
      <w:r>
        <w:rPr>
          <w:rFonts w:hint="eastAsia" w:ascii="宋体" w:hAnsi="宋体" w:cs="方正仿宋_GBK"/>
          <w:color w:val="auto"/>
          <w:sz w:val="28"/>
          <w:szCs w:val="28"/>
          <w:highlight w:val="none"/>
        </w:rPr>
        <w:t>采购代理业务中标金额为500万元，计算采购代理服务收费额如下：</w:t>
      </w:r>
    </w:p>
    <w:p>
      <w:pPr>
        <w:autoSpaceDE w:val="0"/>
        <w:autoSpaceDN w:val="0"/>
        <w:spacing w:line="52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100万元×1.5%=1.5万元</w:t>
      </w:r>
    </w:p>
    <w:p>
      <w:pPr>
        <w:autoSpaceDE w:val="0"/>
        <w:autoSpaceDN w:val="0"/>
        <w:spacing w:line="52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（500-100）万元×1.1%=4.4万元</w:t>
      </w:r>
    </w:p>
    <w:p>
      <w:pPr>
        <w:autoSpaceDE w:val="0"/>
        <w:autoSpaceDN w:val="0"/>
        <w:spacing w:line="52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实际收费=（1.5+4.4）*折扣率</w:t>
      </w:r>
    </w:p>
    <w:p>
      <w:pPr>
        <w:pStyle w:val="9"/>
        <w:rPr>
          <w:rFonts w:hint="eastAsia" w:ascii="宋体" w:hAnsi="宋体" w:eastAsia="宋体" w:cs="方正仿宋_GBK"/>
          <w:color w:val="auto"/>
          <w:sz w:val="28"/>
          <w:szCs w:val="28"/>
          <w:highlight w:val="none"/>
          <w:lang w:val="en-US" w:eastAsia="zh-CN" w:bidi="ar-SA"/>
        </w:rPr>
      </w:pPr>
      <w:r>
        <w:rPr>
          <w:rFonts w:hint="eastAsia" w:ascii="宋体" w:hAnsi="宋体" w:eastAsia="宋体" w:cs="方正仿宋_GBK"/>
          <w:color w:val="auto"/>
          <w:sz w:val="28"/>
          <w:szCs w:val="28"/>
          <w:highlight w:val="none"/>
          <w:lang w:val="en-US" w:eastAsia="zh-CN" w:bidi="ar-SA"/>
        </w:rPr>
        <w:t>采购代理服务费在代理项目中标通知书领取前，乙方自行向中标（成交）人收取。</w:t>
      </w:r>
    </w:p>
    <w:p>
      <w:pPr>
        <w:tabs>
          <w:tab w:val="left" w:pos="8475"/>
        </w:tabs>
        <w:adjustRightInd w:val="0"/>
        <w:snapToGrid w:val="0"/>
        <w:spacing w:line="500" w:lineRule="exact"/>
        <w:ind w:firstLine="420" w:firstLineChars="150"/>
        <w:rPr>
          <w:rFonts w:ascii="宋体" w:hAnsi="宋体" w:cs="方正仿宋_GBK"/>
          <w:color w:val="auto"/>
          <w:sz w:val="28"/>
          <w:szCs w:val="28"/>
          <w:highlight w:val="none"/>
        </w:rPr>
      </w:pPr>
      <w:r>
        <w:rPr>
          <w:rFonts w:hint="eastAsia" w:ascii="宋体" w:hAnsi="宋体" w:cs="方正仿宋_GBK"/>
          <w:color w:val="auto"/>
          <w:sz w:val="28"/>
          <w:szCs w:val="28"/>
          <w:highlight w:val="none"/>
        </w:rPr>
        <w:t>采购代理费用及支付方式，乙方须在采购文件中明确注明告知投标人；多次招标后产生中标人，乙方均按前述标准只收取一次招标服务费；流标后不再招标的，乙方自行承担项目进行所产生的费用，甲方不承担因此给乙方造成的损失。</w:t>
      </w:r>
    </w:p>
    <w:p>
      <w:pPr>
        <w:spacing w:line="500" w:lineRule="exact"/>
        <w:ind w:firstLine="562" w:firstLineChars="200"/>
        <w:rPr>
          <w:rFonts w:ascii="宋体" w:hAnsi="宋体" w:cs="方正仿宋_GBK"/>
          <w:b/>
          <w:color w:val="auto"/>
          <w:sz w:val="28"/>
          <w:szCs w:val="28"/>
          <w:highlight w:val="none"/>
        </w:rPr>
      </w:pPr>
      <w:r>
        <w:rPr>
          <w:rFonts w:hint="eastAsia" w:ascii="宋体" w:hAnsi="宋体" w:cs="方正仿宋_GBK"/>
          <w:b/>
          <w:color w:val="auto"/>
          <w:sz w:val="28"/>
          <w:szCs w:val="28"/>
          <w:highlight w:val="none"/>
        </w:rPr>
        <w:t>第八条  违约责任</w:t>
      </w:r>
    </w:p>
    <w:p>
      <w:pPr>
        <w:autoSpaceDE w:val="0"/>
        <w:autoSpaceDN w:val="0"/>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（一）</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被查证存在弄虚作假、提供不实资料等方式骗取中标的，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将解除其服务合同，同时没收履约保证金。</w:t>
      </w:r>
    </w:p>
    <w:p>
      <w:pPr>
        <w:spacing w:line="520" w:lineRule="exact"/>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（二）</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及其工作人员有违反国家有关法律法规行为的，或者出现上级文件所列明的违规行为的，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有权单方面终止代理协议，将</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纳入</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采购代理黑名单，终身不得参与</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采购代理工作，并通报有关部门，依照相关法律法规进行处理；涉嫌犯罪的，依法移交司法机关处理。</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的违法违规行为给</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造成损失的，应赔偿其损失。</w:t>
      </w:r>
    </w:p>
    <w:p>
      <w:pPr>
        <w:spacing w:line="520" w:lineRule="exact"/>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（三）因工作过失给</w:t>
      </w:r>
      <w:r>
        <w:rPr>
          <w:rFonts w:hint="eastAsia" w:cs="方正仿宋_GBK" w:asciiTheme="minorEastAsia" w:hAnsiTheme="minorEastAsia" w:eastAsiaTheme="minorEastAsia"/>
          <w:color w:val="auto"/>
          <w:sz w:val="28"/>
          <w:szCs w:val="28"/>
          <w:highlight w:val="none"/>
          <w:lang w:val="en-US" w:eastAsia="zh-CN"/>
        </w:rPr>
        <w:t>甲方</w:t>
      </w:r>
      <w:r>
        <w:rPr>
          <w:rFonts w:hint="eastAsia" w:cs="方正仿宋_GBK" w:asciiTheme="minorEastAsia" w:hAnsiTheme="minorEastAsia" w:eastAsiaTheme="minorEastAsia"/>
          <w:color w:val="auto"/>
          <w:sz w:val="28"/>
          <w:szCs w:val="28"/>
          <w:highlight w:val="none"/>
        </w:rPr>
        <w:t>造成重大损失或严重不良影响的，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有权单方面终止代理协议。对</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造成损失的，</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承担相应经济责任和法律责任，履约保证金应当优先赔偿</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的损失且不以此为限，若有剩余再返还。</w:t>
      </w:r>
    </w:p>
    <w:p>
      <w:pPr>
        <w:spacing w:line="520" w:lineRule="exact"/>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（四）</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在采购代理过程中，故意隐瞒发现的问题，有弄虚作假等严重失信行为的，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有权单方面终止代理协议。对</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造成损失的，</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承担相应经济责任和法律责任，履约保证金应当优先赔偿</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的损失且不以此为限，若有剩余再返还。</w:t>
      </w:r>
    </w:p>
    <w:p>
      <w:pPr>
        <w:spacing w:line="52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（五）</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在采购代理过程中，如不按照本</w:t>
      </w:r>
      <w:r>
        <w:rPr>
          <w:rFonts w:hint="eastAsia" w:cs="方正仿宋_GBK" w:asciiTheme="minorEastAsia" w:hAnsiTheme="minorEastAsia" w:eastAsiaTheme="minorEastAsia"/>
          <w:color w:val="auto"/>
          <w:sz w:val="28"/>
          <w:szCs w:val="28"/>
          <w:highlight w:val="none"/>
          <w:lang w:eastAsia="zh-CN"/>
        </w:rPr>
        <w:t>采购文件</w:t>
      </w:r>
      <w:r>
        <w:rPr>
          <w:rFonts w:hint="eastAsia" w:cs="方正仿宋_GBK" w:asciiTheme="minorEastAsia" w:hAnsiTheme="minorEastAsia" w:eastAsiaTheme="minorEastAsia"/>
          <w:color w:val="auto"/>
          <w:sz w:val="28"/>
          <w:szCs w:val="28"/>
          <w:highlight w:val="none"/>
        </w:rPr>
        <w:t>要求的服务内容、服务要求等提供采购代理服务，且经</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书面通知要求整改而未整改的，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有权单方面终止代理协议。对</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造成损失的，</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承担相应经济责任和法律责任，履约保证金应当优先赔偿</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的损失且并不以此为限，若有剩余再返还。</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（六）</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不得因业务量大小、难易程度、地域远近而拒绝</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委托的采购项目和工作内容，若无故拒绝或者拖延接受学校委托采购项目的，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有权单方面终止代理协议，并将其清除出库，并没收履约保证金。</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（七）</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转包或未经</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同意分包承接项目的，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将解除其服务合同，没收履约保证金。</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（八）</w:t>
      </w:r>
      <w:r>
        <w:rPr>
          <w:rFonts w:hint="eastAsia" w:cs="方正仿宋_GBK" w:asciiTheme="minorEastAsia" w:hAnsiTheme="minorEastAsia" w:eastAsiaTheme="minorEastAsia"/>
          <w:color w:val="auto"/>
          <w:sz w:val="28"/>
          <w:szCs w:val="28"/>
          <w:highlight w:val="none"/>
          <w:lang w:eastAsia="zh-CN"/>
        </w:rPr>
        <w:t>乙方</w:t>
      </w:r>
      <w:r>
        <w:rPr>
          <w:rFonts w:hint="eastAsia" w:cs="方正仿宋_GBK" w:asciiTheme="minorEastAsia" w:hAnsiTheme="minorEastAsia" w:eastAsiaTheme="minorEastAsia"/>
          <w:color w:val="auto"/>
          <w:sz w:val="28"/>
          <w:szCs w:val="28"/>
          <w:highlight w:val="none"/>
        </w:rPr>
        <w:t>受到严重行政处罚、因代理机构违规行为出现实质性投诉、上级监督检查出现违规行为、存在商业贿赂或者采取其他不正当手段谋取非法利益等违规行为的，</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将解除其服务合同，没收履约保证金，并按相关法律法规处理。</w:t>
      </w:r>
    </w:p>
    <w:p>
      <w:pPr>
        <w:spacing w:line="520" w:lineRule="exact"/>
        <w:ind w:firstLine="420" w:firstLineChars="15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（九）如国家及本市相关法律法规发生变化或与现行法律法规有冲突，则按相关法律法规执行，</w:t>
      </w:r>
      <w:r>
        <w:rPr>
          <w:rFonts w:hint="eastAsia" w:cs="方正仿宋_GBK" w:asciiTheme="minorEastAsia" w:hAnsiTheme="minorEastAsia" w:eastAsiaTheme="minorEastAsia"/>
          <w:color w:val="auto"/>
          <w:sz w:val="28"/>
          <w:szCs w:val="28"/>
          <w:highlight w:val="none"/>
          <w:lang w:eastAsia="zh-CN"/>
        </w:rPr>
        <w:t>甲方</w:t>
      </w:r>
      <w:r>
        <w:rPr>
          <w:rFonts w:hint="eastAsia" w:cs="方正仿宋_GBK" w:asciiTheme="minorEastAsia" w:hAnsiTheme="minorEastAsia" w:eastAsiaTheme="minorEastAsia"/>
          <w:color w:val="auto"/>
          <w:sz w:val="28"/>
          <w:szCs w:val="28"/>
          <w:highlight w:val="none"/>
        </w:rPr>
        <w:t>有权终止合同，双方均不承担责任。</w:t>
      </w:r>
    </w:p>
    <w:p>
      <w:pPr>
        <w:spacing w:line="520" w:lineRule="exact"/>
        <w:ind w:firstLine="420" w:firstLineChars="150"/>
        <w:rPr>
          <w:color w:val="auto"/>
          <w:highlight w:val="none"/>
        </w:rPr>
      </w:pPr>
      <w:r>
        <w:rPr>
          <w:rFonts w:hint="eastAsia" w:cs="方正仿宋_GBK" w:asciiTheme="minorEastAsia" w:hAnsiTheme="minorEastAsia" w:eastAsiaTheme="minorEastAsia"/>
          <w:color w:val="auto"/>
          <w:sz w:val="28"/>
          <w:szCs w:val="28"/>
          <w:highlight w:val="none"/>
        </w:rPr>
        <w:t>（十）未尽事宜，双方在合同中予以补充。</w:t>
      </w:r>
    </w:p>
    <w:p>
      <w:pPr>
        <w:tabs>
          <w:tab w:val="left" w:pos="8475"/>
        </w:tabs>
        <w:adjustRightInd w:val="0"/>
        <w:snapToGrid w:val="0"/>
        <w:spacing w:line="500" w:lineRule="exact"/>
        <w:ind w:firstLine="422" w:firstLineChars="150"/>
        <w:rPr>
          <w:rFonts w:ascii="宋体" w:hAnsi="宋体" w:cs="方正仿宋_GBK"/>
          <w:color w:val="auto"/>
          <w:sz w:val="28"/>
          <w:szCs w:val="28"/>
          <w:highlight w:val="none"/>
        </w:rPr>
      </w:pPr>
      <w:r>
        <w:rPr>
          <w:rFonts w:hint="eastAsia" w:ascii="宋体" w:hAnsi="宋体" w:cs="方正仿宋_GBK"/>
          <w:b/>
          <w:color w:val="auto"/>
          <w:sz w:val="28"/>
          <w:szCs w:val="28"/>
          <w:highlight w:val="none"/>
        </w:rPr>
        <w:t xml:space="preserve">第九条 </w:t>
      </w:r>
      <w:r>
        <w:rPr>
          <w:rFonts w:hint="eastAsia" w:ascii="宋体" w:hAnsi="宋体" w:cs="方正仿宋_GBK"/>
          <w:color w:val="auto"/>
          <w:sz w:val="28"/>
          <w:szCs w:val="28"/>
          <w:highlight w:val="none"/>
        </w:rPr>
        <w:t xml:space="preserve"> 本协议对双方均具有法律效力。甲、乙双方在合同履行过程中，如发生争议，双方应本着合作、谅解、友好的态度通过协商解决，协商不成时，可向重庆仲裁委员会申请仲裁。</w:t>
      </w:r>
    </w:p>
    <w:p>
      <w:pPr>
        <w:tabs>
          <w:tab w:val="left" w:pos="8475"/>
        </w:tabs>
        <w:adjustRightInd w:val="0"/>
        <w:snapToGrid w:val="0"/>
        <w:spacing w:line="500" w:lineRule="exact"/>
        <w:ind w:firstLine="422" w:firstLineChars="150"/>
        <w:rPr>
          <w:rFonts w:ascii="宋体" w:hAnsi="宋体" w:cs="方正仿宋_GBK"/>
          <w:color w:val="auto"/>
          <w:sz w:val="28"/>
          <w:szCs w:val="28"/>
          <w:highlight w:val="none"/>
        </w:rPr>
      </w:pPr>
      <w:r>
        <w:rPr>
          <w:rFonts w:hint="eastAsia" w:ascii="宋体" w:hAnsi="宋体" w:cs="方正仿宋_GBK"/>
          <w:b/>
          <w:color w:val="auto"/>
          <w:sz w:val="28"/>
          <w:szCs w:val="28"/>
          <w:highlight w:val="none"/>
        </w:rPr>
        <w:t xml:space="preserve">第十条  </w:t>
      </w:r>
      <w:r>
        <w:rPr>
          <w:rFonts w:hint="eastAsia" w:ascii="宋体" w:hAnsi="宋体" w:cs="方正仿宋_GBK"/>
          <w:color w:val="auto"/>
          <w:sz w:val="28"/>
          <w:szCs w:val="28"/>
          <w:highlight w:val="none"/>
        </w:rPr>
        <w:t>本协议未尽事宜，甲乙双方通过友好协商解决。</w:t>
      </w:r>
    </w:p>
    <w:p>
      <w:pPr>
        <w:tabs>
          <w:tab w:val="left" w:pos="8475"/>
        </w:tabs>
        <w:adjustRightInd w:val="0"/>
        <w:snapToGrid w:val="0"/>
        <w:spacing w:line="500" w:lineRule="exact"/>
        <w:ind w:firstLine="422" w:firstLineChars="150"/>
        <w:rPr>
          <w:rFonts w:ascii="宋体" w:hAnsi="宋体" w:cs="方正仿宋_GBK"/>
          <w:color w:val="auto"/>
          <w:sz w:val="28"/>
          <w:szCs w:val="28"/>
          <w:highlight w:val="none"/>
        </w:rPr>
      </w:pPr>
      <w:r>
        <w:rPr>
          <w:rFonts w:hint="eastAsia" w:ascii="宋体" w:hAnsi="宋体" w:cs="方正仿宋_GBK"/>
          <w:b/>
          <w:color w:val="auto"/>
          <w:sz w:val="28"/>
          <w:szCs w:val="28"/>
          <w:highlight w:val="none"/>
        </w:rPr>
        <w:t>第十一条</w:t>
      </w:r>
      <w:r>
        <w:rPr>
          <w:rFonts w:hint="eastAsia" w:ascii="宋体" w:hAnsi="宋体" w:cs="方正仿宋_GBK"/>
          <w:color w:val="auto"/>
          <w:sz w:val="28"/>
          <w:szCs w:val="28"/>
          <w:highlight w:val="none"/>
        </w:rPr>
        <w:t xml:space="preserve">  在本协议执行期间，如与国家新颁布的法律或规定相矛盾，以国家法规为准，并重新签署协议。</w:t>
      </w:r>
    </w:p>
    <w:p>
      <w:pPr>
        <w:tabs>
          <w:tab w:val="left" w:pos="8475"/>
        </w:tabs>
        <w:adjustRightInd w:val="0"/>
        <w:snapToGrid w:val="0"/>
        <w:spacing w:line="500" w:lineRule="exact"/>
        <w:ind w:firstLine="422" w:firstLineChars="150"/>
        <w:rPr>
          <w:rFonts w:ascii="宋体" w:hAnsi="宋体" w:cs="方正仿宋_GBK"/>
          <w:color w:val="auto"/>
          <w:sz w:val="28"/>
          <w:szCs w:val="28"/>
          <w:highlight w:val="none"/>
        </w:rPr>
      </w:pPr>
      <w:r>
        <w:rPr>
          <w:rFonts w:hint="eastAsia" w:ascii="宋体" w:hAnsi="宋体" w:cs="方正仿宋_GBK"/>
          <w:b/>
          <w:color w:val="auto"/>
          <w:sz w:val="28"/>
          <w:szCs w:val="28"/>
          <w:highlight w:val="none"/>
        </w:rPr>
        <w:t>第十二条</w:t>
      </w:r>
      <w:r>
        <w:rPr>
          <w:rFonts w:hint="eastAsia" w:ascii="宋体" w:hAnsi="宋体" w:cs="方正仿宋_GBK"/>
          <w:color w:val="auto"/>
          <w:sz w:val="28"/>
          <w:szCs w:val="28"/>
          <w:highlight w:val="none"/>
        </w:rPr>
        <w:t xml:space="preserve">  本协议一式陆份，甲方执肆份，乙方执贰份，自双方签字盖章之日起生效。</w:t>
      </w:r>
    </w:p>
    <w:p>
      <w:pPr>
        <w:snapToGrid w:val="0"/>
        <w:spacing w:line="500" w:lineRule="exact"/>
        <w:ind w:firstLine="420" w:firstLineChars="150"/>
        <w:rPr>
          <w:rFonts w:ascii="宋体" w:hAnsi="宋体" w:cs="方正仿宋_GBK"/>
          <w:color w:val="auto"/>
          <w:sz w:val="28"/>
          <w:szCs w:val="28"/>
          <w:highlight w:val="none"/>
        </w:rPr>
      </w:pPr>
    </w:p>
    <w:p>
      <w:pPr>
        <w:snapToGrid w:val="0"/>
        <w:spacing w:line="500" w:lineRule="exact"/>
        <w:rPr>
          <w:rFonts w:ascii="宋体" w:hAnsi="宋体"/>
          <w:b/>
          <w:bCs/>
          <w:color w:val="auto"/>
          <w:highlight w:val="none"/>
        </w:rPr>
      </w:pPr>
    </w:p>
    <w:p>
      <w:pPr>
        <w:tabs>
          <w:tab w:val="left" w:pos="8475"/>
        </w:tabs>
        <w:adjustRightInd w:val="0"/>
        <w:snapToGrid w:val="0"/>
        <w:spacing w:line="500" w:lineRule="exact"/>
        <w:rPr>
          <w:rFonts w:ascii="宋体" w:hAnsi="宋体" w:cs="方正仿宋_GBK"/>
          <w:b/>
          <w:color w:val="auto"/>
          <w:sz w:val="28"/>
          <w:szCs w:val="28"/>
          <w:highlight w:val="none"/>
        </w:rPr>
      </w:pPr>
      <w:r>
        <w:rPr>
          <w:rFonts w:hint="eastAsia" w:ascii="宋体" w:hAnsi="宋体" w:cs="方正仿宋_GBK"/>
          <w:b/>
          <w:color w:val="auto"/>
          <w:sz w:val="28"/>
          <w:szCs w:val="28"/>
          <w:highlight w:val="none"/>
        </w:rPr>
        <w:t xml:space="preserve">甲方：重庆工程职业技术学院                     乙方： </w:t>
      </w:r>
    </w:p>
    <w:p>
      <w:pPr>
        <w:tabs>
          <w:tab w:val="left" w:pos="8475"/>
        </w:tabs>
        <w:adjustRightInd w:val="0"/>
        <w:snapToGrid w:val="0"/>
        <w:spacing w:line="500" w:lineRule="exact"/>
        <w:rPr>
          <w:rFonts w:ascii="宋体" w:hAnsi="宋体" w:cs="方正仿宋_GBK"/>
          <w:color w:val="auto"/>
          <w:sz w:val="28"/>
          <w:szCs w:val="28"/>
          <w:highlight w:val="none"/>
        </w:rPr>
      </w:pPr>
      <w:r>
        <w:rPr>
          <w:rFonts w:hint="eastAsia" w:ascii="宋体" w:hAnsi="宋体" w:cs="方正仿宋_GBK"/>
          <w:color w:val="auto"/>
          <w:sz w:val="28"/>
          <w:szCs w:val="28"/>
          <w:highlight w:val="none"/>
        </w:rPr>
        <w:t>法人或委托代理人：                     法人或委托代理人：</w:t>
      </w:r>
    </w:p>
    <w:p>
      <w:pPr>
        <w:tabs>
          <w:tab w:val="left" w:pos="8475"/>
        </w:tabs>
        <w:adjustRightInd w:val="0"/>
        <w:snapToGrid w:val="0"/>
        <w:spacing w:line="500" w:lineRule="exact"/>
        <w:rPr>
          <w:rFonts w:ascii="宋体" w:hAnsi="宋体" w:cs="方正仿宋_GBK"/>
          <w:color w:val="auto"/>
          <w:sz w:val="28"/>
          <w:szCs w:val="28"/>
          <w:highlight w:val="none"/>
        </w:rPr>
      </w:pPr>
      <w:r>
        <w:rPr>
          <w:rFonts w:hint="eastAsia" w:ascii="宋体" w:hAnsi="宋体" w:cs="方正仿宋_GBK"/>
          <w:color w:val="auto"/>
          <w:sz w:val="28"/>
          <w:szCs w:val="28"/>
          <w:highlight w:val="none"/>
        </w:rPr>
        <w:t xml:space="preserve">经  办  人：                           联  系  人： </w:t>
      </w:r>
    </w:p>
    <w:p>
      <w:pPr>
        <w:tabs>
          <w:tab w:val="left" w:pos="8475"/>
        </w:tabs>
        <w:adjustRightInd w:val="0"/>
        <w:snapToGrid w:val="0"/>
        <w:spacing w:line="500" w:lineRule="exact"/>
        <w:jc w:val="left"/>
        <w:rPr>
          <w:rFonts w:ascii="宋体" w:hAnsi="宋体" w:cs="方正仿宋_GBK"/>
          <w:color w:val="auto"/>
          <w:sz w:val="28"/>
          <w:szCs w:val="28"/>
          <w:highlight w:val="none"/>
        </w:rPr>
      </w:pPr>
      <w:r>
        <w:rPr>
          <w:rFonts w:hint="eastAsia" w:ascii="宋体" w:hAnsi="宋体" w:cs="方正仿宋_GBK"/>
          <w:color w:val="auto"/>
          <w:sz w:val="28"/>
          <w:szCs w:val="28"/>
          <w:highlight w:val="none"/>
        </w:rPr>
        <w:t>电      话：                           电      话：                                            签章日期：202</w:t>
      </w:r>
      <w:r>
        <w:rPr>
          <w:rFonts w:ascii="宋体" w:hAnsi="宋体" w:cs="方正仿宋_GBK"/>
          <w:color w:val="auto"/>
          <w:sz w:val="28"/>
          <w:szCs w:val="28"/>
          <w:highlight w:val="none"/>
        </w:rPr>
        <w:t>3</w:t>
      </w:r>
      <w:r>
        <w:rPr>
          <w:rFonts w:hint="eastAsia" w:ascii="宋体" w:hAnsi="宋体" w:cs="方正仿宋_GBK"/>
          <w:color w:val="auto"/>
          <w:sz w:val="28"/>
          <w:szCs w:val="28"/>
          <w:highlight w:val="none"/>
        </w:rPr>
        <w:t>年  月  日               签 章 日期：202</w:t>
      </w:r>
      <w:r>
        <w:rPr>
          <w:rFonts w:ascii="宋体" w:hAnsi="宋体" w:cs="方正仿宋_GBK"/>
          <w:color w:val="auto"/>
          <w:sz w:val="28"/>
          <w:szCs w:val="28"/>
          <w:highlight w:val="none"/>
        </w:rPr>
        <w:t>3</w:t>
      </w:r>
      <w:r>
        <w:rPr>
          <w:rFonts w:hint="eastAsia" w:ascii="宋体" w:hAnsi="宋体" w:cs="方正仿宋_GBK"/>
          <w:color w:val="auto"/>
          <w:sz w:val="28"/>
          <w:szCs w:val="28"/>
          <w:highlight w:val="none"/>
        </w:rPr>
        <w:t>年  月  日</w:t>
      </w:r>
    </w:p>
    <w:p>
      <w:pPr>
        <w:rPr>
          <w:color w:val="auto"/>
          <w:highlight w:val="none"/>
        </w:rPr>
      </w:pPr>
    </w:p>
    <w:p>
      <w:pPr>
        <w:rPr>
          <w:color w:val="auto"/>
          <w:highlight w:val="none"/>
        </w:rPr>
      </w:pPr>
    </w:p>
    <w:p>
      <w:pPr>
        <w:rPr>
          <w:color w:val="auto"/>
          <w:highlight w:val="none"/>
        </w:rPr>
      </w:pPr>
    </w:p>
    <w:p>
      <w:pPr>
        <w:rPr>
          <w:color w:val="auto"/>
          <w:highlight w:val="none"/>
        </w:rPr>
        <w:sectPr>
          <w:headerReference r:id="rId12" w:type="default"/>
          <w:pgSz w:w="11906" w:h="16838"/>
          <w:pgMar w:top="1985" w:right="1474" w:bottom="1701" w:left="1588" w:header="851" w:footer="851" w:gutter="0"/>
          <w:pgNumType w:fmt="numberInDash"/>
          <w:cols w:space="425" w:num="1"/>
          <w:docGrid w:linePitch="388" w:charSpace="-1260"/>
        </w:sectPr>
      </w:pPr>
    </w:p>
    <w:p>
      <w:pPr>
        <w:adjustRightInd w:val="0"/>
        <w:snapToGrid w:val="0"/>
        <w:jc w:val="center"/>
        <w:outlineLvl w:val="0"/>
        <w:rPr>
          <w:rFonts w:cs="方正仿宋_GBK" w:asciiTheme="minorEastAsia" w:hAnsiTheme="minorEastAsia" w:eastAsiaTheme="minorEastAsia"/>
          <w:color w:val="auto"/>
          <w:sz w:val="44"/>
          <w:szCs w:val="44"/>
          <w:highlight w:val="none"/>
        </w:rPr>
      </w:pPr>
      <w:bookmarkStart w:id="34" w:name="_Toc285612604"/>
      <w:bookmarkStart w:id="35" w:name="_Toc240432233"/>
      <w:r>
        <w:rPr>
          <w:rFonts w:hint="eastAsia" w:cs="方正仿宋_GBK" w:asciiTheme="minorEastAsia" w:hAnsiTheme="minorEastAsia" w:eastAsiaTheme="minorEastAsia"/>
          <w:color w:val="auto"/>
          <w:sz w:val="44"/>
          <w:szCs w:val="44"/>
          <w:highlight w:val="none"/>
        </w:rPr>
        <w:t>第五部分</w:t>
      </w:r>
      <w:bookmarkEnd w:id="34"/>
      <w:bookmarkEnd w:id="35"/>
      <w:r>
        <w:rPr>
          <w:rFonts w:hint="eastAsia" w:cs="方正仿宋_GBK" w:asciiTheme="minorEastAsia" w:hAnsiTheme="minorEastAsia" w:eastAsiaTheme="minorEastAsia"/>
          <w:color w:val="auto"/>
          <w:sz w:val="44"/>
          <w:szCs w:val="44"/>
          <w:highlight w:val="none"/>
        </w:rPr>
        <w:t xml:space="preserve">  </w:t>
      </w:r>
      <w:r>
        <w:rPr>
          <w:rFonts w:hint="eastAsia" w:cs="方正仿宋_GBK" w:asciiTheme="minorEastAsia" w:hAnsiTheme="minorEastAsia" w:eastAsiaTheme="minorEastAsia"/>
          <w:color w:val="auto"/>
          <w:sz w:val="44"/>
          <w:szCs w:val="44"/>
          <w:highlight w:val="none"/>
          <w:lang w:val="en-US" w:eastAsia="zh-CN"/>
        </w:rPr>
        <w:t>响应</w:t>
      </w:r>
      <w:r>
        <w:rPr>
          <w:rFonts w:hint="eastAsia" w:cs="方正仿宋_GBK" w:asciiTheme="minorEastAsia" w:hAnsiTheme="minorEastAsia" w:eastAsiaTheme="minorEastAsia"/>
          <w:color w:val="auto"/>
          <w:sz w:val="44"/>
          <w:szCs w:val="44"/>
          <w:highlight w:val="none"/>
        </w:rPr>
        <w:t>文件格式/附件</w:t>
      </w:r>
    </w:p>
    <w:p>
      <w:pPr>
        <w:adjustRightInd w:val="0"/>
        <w:snapToGrid w:val="0"/>
        <w:jc w:val="center"/>
        <w:outlineLvl w:val="0"/>
        <w:rPr>
          <w:rFonts w:cs="方正仿宋_GBK" w:asciiTheme="minorEastAsia" w:hAnsiTheme="minorEastAsia" w:eastAsiaTheme="minorEastAsia"/>
          <w:color w:val="auto"/>
          <w:sz w:val="44"/>
          <w:szCs w:val="44"/>
          <w:highlight w:val="none"/>
        </w:rPr>
      </w:pPr>
    </w:p>
    <w:p>
      <w:pPr>
        <w:adjustRightInd w:val="0"/>
        <w:snapToGrid w:val="0"/>
        <w:ind w:firstLine="562"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一、经济文件</w:t>
      </w:r>
    </w:p>
    <w:p>
      <w:pPr>
        <w:adjustRightInd w:val="0"/>
        <w:snapToGrid w:val="0"/>
        <w:ind w:firstLine="560"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color w:val="auto"/>
          <w:sz w:val="28"/>
          <w:szCs w:val="28"/>
          <w:highlight w:val="none"/>
        </w:rPr>
        <w:t>1.</w:t>
      </w:r>
      <w:r>
        <w:rPr>
          <w:rFonts w:hint="eastAsia" w:cs="方正仿宋_GBK" w:asciiTheme="minorEastAsia" w:hAnsiTheme="minorEastAsia" w:eastAsiaTheme="minorEastAsia"/>
          <w:color w:val="auto"/>
          <w:sz w:val="28"/>
          <w:szCs w:val="28"/>
          <w:highlight w:val="none"/>
          <w:lang w:val="en-US" w:eastAsia="zh-CN"/>
        </w:rPr>
        <w:t>投标函</w:t>
      </w:r>
      <w:r>
        <w:rPr>
          <w:rFonts w:hint="eastAsia" w:cs="方正仿宋_GBK" w:asciiTheme="minorEastAsia" w:hAnsiTheme="minorEastAsia" w:eastAsiaTheme="minorEastAsia"/>
          <w:color w:val="auto"/>
          <w:sz w:val="28"/>
          <w:szCs w:val="28"/>
          <w:highlight w:val="none"/>
        </w:rPr>
        <w:t>（附件一）</w:t>
      </w:r>
    </w:p>
    <w:p>
      <w:pPr>
        <w:adjustRightInd w:val="0"/>
        <w:snapToGrid w:val="0"/>
        <w:ind w:firstLine="562"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二、资格文件</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1.营业执照（副本）复印件</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2.法定代表人身份证明书（附件二）</w:t>
      </w:r>
    </w:p>
    <w:p>
      <w:pPr>
        <w:adjustRightInd w:val="0"/>
        <w:snapToGrid w:val="0"/>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3.法定代表人授权委托书（附件三）</w:t>
      </w:r>
    </w:p>
    <w:p>
      <w:pPr>
        <w:adjustRightInd w:val="0"/>
        <w:snapToGrid w:val="0"/>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4.</w:t>
      </w:r>
      <w:r>
        <w:rPr>
          <w:rFonts w:hint="eastAsia" w:cs="方正仿宋_GBK" w:asciiTheme="minorEastAsia" w:hAnsiTheme="minorEastAsia" w:eastAsiaTheme="minorEastAsia"/>
          <w:color w:val="auto"/>
          <w:sz w:val="28"/>
          <w:szCs w:val="28"/>
          <w:highlight w:val="none"/>
        </w:rPr>
        <w:t>基本资格条件承诺函（</w:t>
      </w:r>
      <w:r>
        <w:rPr>
          <w:rFonts w:hint="eastAsia" w:cs="方正仿宋_GBK" w:asciiTheme="minorEastAsia" w:hAnsiTheme="minorEastAsia" w:eastAsiaTheme="minorEastAsia"/>
          <w:color w:val="auto"/>
          <w:sz w:val="28"/>
          <w:szCs w:val="28"/>
          <w:highlight w:val="none"/>
          <w:lang w:val="en-US" w:eastAsia="zh-CN"/>
        </w:rPr>
        <w:t>附件四</w:t>
      </w:r>
      <w:r>
        <w:rPr>
          <w:rFonts w:hint="eastAsia" w:cs="方正仿宋_GBK" w:asciiTheme="minorEastAsia" w:hAnsiTheme="minorEastAsia" w:eastAsiaTheme="minorEastAsia"/>
          <w:color w:val="auto"/>
          <w:sz w:val="28"/>
          <w:szCs w:val="28"/>
          <w:highlight w:val="none"/>
        </w:rPr>
        <w:t>）</w:t>
      </w:r>
    </w:p>
    <w:p>
      <w:pPr>
        <w:adjustRightInd w:val="0"/>
        <w:snapToGrid w:val="0"/>
        <w:ind w:firstLine="560" w:firstLineChars="200"/>
        <w:rPr>
          <w:rFonts w:hint="eastAsia"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lang w:val="en-US" w:eastAsia="zh-CN"/>
        </w:rPr>
        <w:t>5</w:t>
      </w:r>
      <w:r>
        <w:rPr>
          <w:rFonts w:hint="eastAsia" w:cs="方正仿宋_GBK" w:asciiTheme="minorEastAsia" w:hAnsiTheme="minorEastAsia" w:eastAsiaTheme="minorEastAsia"/>
          <w:color w:val="auto"/>
          <w:sz w:val="28"/>
          <w:szCs w:val="28"/>
          <w:highlight w:val="none"/>
        </w:rPr>
        <w:t>.特定资格条件证明文件</w:t>
      </w:r>
    </w:p>
    <w:p>
      <w:pPr>
        <w:adjustRightInd w:val="0"/>
        <w:snapToGrid w:val="0"/>
        <w:ind w:firstLine="562"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三、服务文件</w:t>
      </w:r>
    </w:p>
    <w:p>
      <w:pPr>
        <w:snapToGrid w:val="0"/>
        <w:spacing w:line="440" w:lineRule="exact"/>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1.服务条款差异表（附件五）</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2.服务方案</w:t>
      </w:r>
    </w:p>
    <w:p>
      <w:pPr>
        <w:adjustRightInd w:val="0"/>
        <w:snapToGrid w:val="0"/>
        <w:ind w:firstLine="562"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四、商务文件</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1.商务条款差异表（附件六）</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2.资历和业绩（格式自拟）（附件七）</w:t>
      </w:r>
    </w:p>
    <w:p>
      <w:pPr>
        <w:tabs>
          <w:tab w:val="left" w:pos="1764"/>
        </w:tabs>
        <w:adjustRightInd w:val="0"/>
        <w:snapToGrid w:val="0"/>
        <w:ind w:firstLine="562" w:firstLineChars="200"/>
        <w:rPr>
          <w:rFonts w:cs="方正仿宋_GBK" w:asciiTheme="minorEastAsia" w:hAnsiTheme="minorEastAsia" w:eastAsiaTheme="minorEastAsia"/>
          <w:b/>
          <w:color w:val="auto"/>
          <w:sz w:val="28"/>
          <w:szCs w:val="28"/>
          <w:highlight w:val="none"/>
        </w:rPr>
      </w:pPr>
      <w:r>
        <w:rPr>
          <w:rFonts w:hint="eastAsia" w:cs="方正仿宋_GBK" w:asciiTheme="minorEastAsia" w:hAnsiTheme="minorEastAsia" w:eastAsiaTheme="minorEastAsia"/>
          <w:b/>
          <w:color w:val="auto"/>
          <w:sz w:val="28"/>
          <w:szCs w:val="28"/>
          <w:highlight w:val="none"/>
        </w:rPr>
        <w:t>五、其他</w:t>
      </w:r>
    </w:p>
    <w:p>
      <w:pPr>
        <w:adjustRightInd w:val="0"/>
        <w:snapToGrid w:val="0"/>
        <w:ind w:firstLine="560" w:firstLineChars="200"/>
        <w:rPr>
          <w:rFonts w:cs="方正仿宋_GBK" w:asciiTheme="minorEastAsia" w:hAnsiTheme="minorEastAsia" w:eastAsiaTheme="minorEastAsia"/>
          <w:color w:val="auto"/>
          <w:sz w:val="28"/>
          <w:szCs w:val="28"/>
          <w:highlight w:val="none"/>
        </w:rPr>
        <w:sectPr>
          <w:headerReference r:id="rId13" w:type="default"/>
          <w:pgSz w:w="11906" w:h="16838"/>
          <w:pgMar w:top="1985" w:right="1474" w:bottom="1701" w:left="1588" w:header="851" w:footer="851" w:gutter="0"/>
          <w:pgNumType w:fmt="numberInDash"/>
          <w:cols w:space="425" w:num="1"/>
          <w:docGrid w:linePitch="388" w:charSpace="-1260"/>
        </w:sectPr>
      </w:pPr>
      <w:r>
        <w:rPr>
          <w:rFonts w:hint="eastAsia" w:cs="方正仿宋_GBK" w:asciiTheme="minorEastAsia" w:hAnsiTheme="minorEastAsia" w:eastAsiaTheme="minorEastAsia"/>
          <w:color w:val="auto"/>
          <w:sz w:val="28"/>
          <w:szCs w:val="28"/>
          <w:highlight w:val="none"/>
        </w:rPr>
        <w:t>其他与项目有关的资料</w:t>
      </w:r>
    </w:p>
    <w:p>
      <w:pPr>
        <w:adjustRightInd w:val="0"/>
        <w:snapToGrid w:val="0"/>
        <w:ind w:firstLine="560" w:firstLineChars="200"/>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附件一</w:t>
      </w:r>
    </w:p>
    <w:p>
      <w:pPr>
        <w:widowControl/>
        <w:ind w:firstLine="560" w:firstLineChars="200"/>
        <w:jc w:val="center"/>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投标</w:t>
      </w:r>
      <w:r>
        <w:rPr>
          <w:rFonts w:hint="eastAsia" w:asciiTheme="minorEastAsia" w:hAnsiTheme="minorEastAsia" w:eastAsiaTheme="minorEastAsia"/>
          <w:color w:val="auto"/>
          <w:sz w:val="28"/>
          <w:szCs w:val="28"/>
          <w:highlight w:val="none"/>
        </w:rPr>
        <w:t>函</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（采购人名称）：</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我方收到____________________________（项目名称）的竞争性磋商文件，经详细研究，决定参加该项目的磋商。（投标人名称）系中华人民共和国合法企业，注册地址：。我方就参加本次投标有关事项郑重声明如下：</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1.愿意按照竞争性磋商文件中的一切要求，提供本项目的服务，初始报价为</w:t>
      </w:r>
      <w:r>
        <w:rPr>
          <w:rFonts w:hint="eastAsia" w:asciiTheme="minorEastAsia" w:hAnsiTheme="minorEastAsia" w:eastAsiaTheme="minorEastAsia"/>
          <w:color w:val="auto"/>
          <w:sz w:val="28"/>
          <w:szCs w:val="28"/>
          <w:highlight w:val="none"/>
          <w:u w:val="single"/>
          <w:lang w:val="en-US" w:eastAsia="zh-CN"/>
        </w:rPr>
        <w:t xml:space="preserve">折扣率：    </w:t>
      </w:r>
      <w:r>
        <w:rPr>
          <w:rFonts w:hint="eastAsia" w:asciiTheme="minorEastAsia" w:hAnsiTheme="minorEastAsia" w:eastAsiaTheme="minorEastAsia"/>
          <w:color w:val="auto"/>
          <w:sz w:val="28"/>
          <w:szCs w:val="28"/>
          <w:highlight w:val="none"/>
        </w:rPr>
        <w:t>。以我公司最后报价为准。</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2.我方按</w:t>
      </w:r>
      <w:r>
        <w:rPr>
          <w:rFonts w:hint="eastAsia" w:asciiTheme="minorEastAsia" w:hAnsiTheme="minorEastAsia" w:eastAsiaTheme="minorEastAsia"/>
          <w:color w:val="auto"/>
          <w:sz w:val="28"/>
          <w:szCs w:val="28"/>
          <w:highlight w:val="none"/>
          <w:lang w:eastAsia="zh-CN"/>
        </w:rPr>
        <w:t>采购文件</w:t>
      </w:r>
      <w:r>
        <w:rPr>
          <w:rFonts w:hint="eastAsia" w:asciiTheme="minorEastAsia" w:hAnsiTheme="minorEastAsia" w:eastAsiaTheme="minorEastAsia"/>
          <w:color w:val="auto"/>
          <w:sz w:val="28"/>
          <w:szCs w:val="28"/>
          <w:highlight w:val="none"/>
        </w:rPr>
        <w:t>要求提交的</w:t>
      </w:r>
      <w:r>
        <w:rPr>
          <w:rFonts w:hint="eastAsia" w:asciiTheme="minorEastAsia" w:hAnsiTheme="minorEastAsia" w:eastAsiaTheme="minorEastAsia"/>
          <w:color w:val="auto"/>
          <w:sz w:val="28"/>
          <w:szCs w:val="28"/>
          <w:highlight w:val="none"/>
          <w:lang w:eastAsia="zh-CN"/>
        </w:rPr>
        <w:t>响应文件</w:t>
      </w:r>
      <w:r>
        <w:rPr>
          <w:rFonts w:hint="eastAsia" w:asciiTheme="minorEastAsia" w:hAnsiTheme="minorEastAsia" w:eastAsiaTheme="minorEastAsia"/>
          <w:color w:val="auto"/>
          <w:sz w:val="28"/>
          <w:szCs w:val="28"/>
          <w:highlight w:val="none"/>
        </w:rPr>
        <w:t>为：</w:t>
      </w:r>
      <w:r>
        <w:rPr>
          <w:rFonts w:hint="eastAsia" w:asciiTheme="minorEastAsia" w:hAnsiTheme="minorEastAsia" w:eastAsiaTheme="minorEastAsia"/>
          <w:color w:val="auto"/>
          <w:sz w:val="28"/>
          <w:szCs w:val="28"/>
          <w:highlight w:val="none"/>
          <w:lang w:eastAsia="zh-CN"/>
        </w:rPr>
        <w:t>响应文件</w:t>
      </w:r>
      <w:r>
        <w:rPr>
          <w:rFonts w:hint="eastAsia" w:asciiTheme="minorEastAsia" w:hAnsiTheme="minorEastAsia" w:eastAsiaTheme="minorEastAsia"/>
          <w:color w:val="auto"/>
          <w:sz w:val="28"/>
          <w:szCs w:val="28"/>
          <w:highlight w:val="none"/>
        </w:rPr>
        <w:t>正本1份，副本</w:t>
      </w: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份</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电子文档1份</w:t>
      </w:r>
      <w:r>
        <w:rPr>
          <w:rFonts w:hint="eastAsia" w:asciiTheme="minorEastAsia" w:hAnsiTheme="minorEastAsia" w:eastAsiaTheme="minorEastAsia"/>
          <w:color w:val="auto"/>
          <w:sz w:val="28"/>
          <w:szCs w:val="28"/>
          <w:highlight w:val="none"/>
        </w:rPr>
        <w:t>。</w:t>
      </w:r>
    </w:p>
    <w:p>
      <w:pPr>
        <w:widowControl/>
        <w:ind w:firstLine="560" w:firstLineChars="200"/>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3.我方承诺：本次磋商的投标有效期为提交响应文件截止时间起90天。</w:t>
      </w:r>
    </w:p>
    <w:p>
      <w:pPr>
        <w:widowControl/>
        <w:ind w:firstLine="560" w:firstLineChars="200"/>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4.我方完全理解和接受贵方竞争性磋商文件的一切规定和要求及评审办法。</w:t>
      </w:r>
    </w:p>
    <w:p>
      <w:pPr>
        <w:widowControl/>
        <w:ind w:firstLine="560" w:firstLineChars="200"/>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5.我方提交的所有响应文件、资料都是准确和真实的，如有虚假或隐瞒，我方愿意承担一切法律责任。</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6</w:t>
      </w:r>
      <w:r>
        <w:rPr>
          <w:rFonts w:hint="eastAsia" w:asciiTheme="minorEastAsia" w:hAnsiTheme="minorEastAsia" w:eastAsiaTheme="minorEastAsia"/>
          <w:color w:val="auto"/>
          <w:sz w:val="28"/>
          <w:szCs w:val="28"/>
          <w:highlight w:val="none"/>
        </w:rPr>
        <w:t>.在整个竞争性磋商过程中，我方若有违规行为，接受按照《中华人民共和国政府采购法》和《竞争性磋商文件》之规定给予惩罚。</w:t>
      </w:r>
    </w:p>
    <w:p>
      <w:pPr>
        <w:widowControl/>
        <w:ind w:firstLine="560" w:firstLineChars="200"/>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7.我方若成为成交供应商，将按照最终磋商结果签订合同，并且严格履行合同义务。本承诺函将成为合同不可分割的一部分，与合同具有同等的法律效力。</w:t>
      </w:r>
    </w:p>
    <w:p>
      <w:pPr>
        <w:widowControl/>
        <w:ind w:firstLine="560" w:firstLineChars="200"/>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8.我方未为采购项目提供整体设计、规范编制或者项目管理、监理、检测等服务。</w:t>
      </w:r>
    </w:p>
    <w:p>
      <w:pPr>
        <w:widowControl/>
        <w:ind w:firstLine="560" w:firstLineChars="200"/>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9.我方同意按有关规定及采购文件要求，交纳足额磋商保证金。</w:t>
      </w:r>
    </w:p>
    <w:p>
      <w:pPr>
        <w:widowControl/>
        <w:ind w:firstLine="560" w:firstLineChars="200"/>
        <w:jc w:val="left"/>
        <w:rPr>
          <w:rFonts w:hint="eastAsia" w:asciiTheme="minorEastAsia" w:hAnsiTheme="minorEastAsia" w:eastAsiaTheme="minorEastAsia"/>
          <w:color w:val="auto"/>
          <w:sz w:val="28"/>
          <w:szCs w:val="28"/>
          <w:highlight w:val="none"/>
        </w:rPr>
      </w:pP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供应商（公章）：</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地址：  </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电话：                                             传真：</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网址：                                             邮编：</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联系人：</w:t>
      </w:r>
    </w:p>
    <w:p>
      <w:pPr>
        <w:widowControl/>
        <w:ind w:firstLine="560" w:firstLineChars="200"/>
        <w:jc w:val="left"/>
        <w:rPr>
          <w:rFonts w:hint="eastAsia" w:asciiTheme="minorEastAsia" w:hAnsiTheme="minorEastAsia" w:eastAsiaTheme="minorEastAsia"/>
          <w:color w:val="auto"/>
          <w:sz w:val="28"/>
          <w:szCs w:val="28"/>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olor w:val="auto"/>
          <w:sz w:val="28"/>
          <w:szCs w:val="28"/>
          <w:highlight w:val="none"/>
        </w:rPr>
        <w:t xml:space="preserve">                                                  年   月   日</w:t>
      </w:r>
    </w:p>
    <w:p>
      <w:pP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附件二</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法定代表人身份证明书（格式）</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项目名称：</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致：（采购人）：</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（法定代表人姓名）在（投标人名称）任（职务名称）职务，是（投标人名称）的法定代表人。</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特此证明。</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                                             （投标人公章）</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                                             年   月   日</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法定代表人电话：XXXXXXX      电子邮箱：XXXXXX@XXXXX（若授权他人办理并签署响应文件的可不填写）</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（附：法定代表人身份证正反面复印件）</w:t>
      </w:r>
    </w:p>
    <w:p>
      <w:pPr>
        <w:tabs>
          <w:tab w:val="left" w:pos="6300"/>
        </w:tabs>
        <w:snapToGrid w:val="0"/>
        <w:spacing w:line="500" w:lineRule="exact"/>
        <w:ind w:firstLine="570"/>
        <w:rPr>
          <w:rFonts w:asciiTheme="minorEastAsia" w:hAnsiTheme="minorEastAsia" w:eastAsiaTheme="minorEastAsia"/>
          <w:color w:val="auto"/>
          <w:highlight w:val="none"/>
        </w:rPr>
      </w:pPr>
    </w:p>
    <w:p>
      <w:pPr>
        <w:tabs>
          <w:tab w:val="left" w:pos="6300"/>
        </w:tabs>
        <w:snapToGrid w:val="0"/>
        <w:spacing w:line="500" w:lineRule="exact"/>
        <w:ind w:firstLine="570"/>
        <w:rPr>
          <w:rFonts w:asciiTheme="minorEastAsia" w:hAnsiTheme="minorEastAsia" w:eastAsiaTheme="minorEastAsia"/>
          <w:color w:val="auto"/>
          <w:highlight w:val="none"/>
        </w:rPr>
      </w:pPr>
    </w:p>
    <w:p>
      <w:pPr>
        <w:tabs>
          <w:tab w:val="left" w:pos="6300"/>
        </w:tabs>
        <w:snapToGrid w:val="0"/>
        <w:spacing w:line="500" w:lineRule="exact"/>
        <w:ind w:firstLine="570"/>
        <w:rPr>
          <w:rFonts w:asciiTheme="minorEastAsia" w:hAnsiTheme="minorEastAsia" w:eastAsiaTheme="minorEastAsia"/>
          <w:color w:val="auto"/>
          <w:highlight w:val="none"/>
        </w:rPr>
      </w:pPr>
    </w:p>
    <w:p>
      <w:pPr>
        <w:tabs>
          <w:tab w:val="left" w:pos="6300"/>
        </w:tabs>
        <w:snapToGrid w:val="0"/>
        <w:spacing w:line="500" w:lineRule="exact"/>
        <w:ind w:firstLine="570"/>
        <w:rPr>
          <w:rFonts w:asciiTheme="minorEastAsia" w:hAnsiTheme="minorEastAsia" w:eastAsiaTheme="minorEastAsia"/>
          <w:color w:val="auto"/>
          <w:highlight w:val="none"/>
        </w:rPr>
      </w:pPr>
    </w:p>
    <w:p>
      <w:pPr>
        <w:tabs>
          <w:tab w:val="left" w:pos="6300"/>
        </w:tabs>
        <w:snapToGrid w:val="0"/>
        <w:spacing w:line="500" w:lineRule="exact"/>
        <w:ind w:firstLine="570"/>
        <w:rPr>
          <w:rFonts w:asciiTheme="minorEastAsia" w:hAnsiTheme="minorEastAsia" w:eastAsiaTheme="minorEastAsia"/>
          <w:color w:val="auto"/>
          <w:highlight w:val="none"/>
        </w:rPr>
      </w:pPr>
    </w:p>
    <w:p>
      <w:pPr>
        <w:tabs>
          <w:tab w:val="left" w:pos="6300"/>
        </w:tabs>
        <w:snapToGrid w:val="0"/>
        <w:spacing w:line="500" w:lineRule="exact"/>
        <w:ind w:firstLine="570"/>
        <w:rPr>
          <w:rFonts w:asciiTheme="minorEastAsia" w:hAnsiTheme="minorEastAsia" w:eastAsiaTheme="minorEastAsia"/>
          <w:color w:val="auto"/>
          <w:highlight w:val="none"/>
        </w:rPr>
      </w:pP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column"/>
      </w:r>
      <w:r>
        <w:rPr>
          <w:rFonts w:hint="eastAsia" w:cs="方正仿宋_GBK" w:asciiTheme="minorEastAsia" w:hAnsiTheme="minorEastAsia" w:eastAsiaTheme="minorEastAsia"/>
          <w:color w:val="auto"/>
          <w:sz w:val="28"/>
          <w:szCs w:val="28"/>
          <w:highlight w:val="none"/>
        </w:rPr>
        <w:t>附件三</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法定代表人授权委托书（格式）</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项目名称：</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致：（采购人）：</w:t>
      </w:r>
    </w:p>
    <w:p>
      <w:pPr>
        <w:tabs>
          <w:tab w:val="left" w:pos="6300"/>
        </w:tabs>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（投标人法定代表人名称）是（投标人名称）的法定代表人，特授权（被授权人姓名及身份证代码）代表我单位全权办理上述项目的投标、</w:t>
      </w:r>
      <w:r>
        <w:rPr>
          <w:rFonts w:hint="eastAsia" w:asciiTheme="minorEastAsia" w:hAnsiTheme="minorEastAsia" w:eastAsiaTheme="minorEastAsia"/>
          <w:color w:val="auto"/>
          <w:sz w:val="28"/>
          <w:szCs w:val="28"/>
          <w:highlight w:val="none"/>
          <w:lang w:val="en-US" w:eastAsia="zh-CN"/>
        </w:rPr>
        <w:t>磋商</w:t>
      </w:r>
      <w:r>
        <w:rPr>
          <w:rFonts w:hint="eastAsia" w:asciiTheme="minorEastAsia" w:hAnsiTheme="minorEastAsia" w:eastAsiaTheme="minorEastAsia"/>
          <w:color w:val="auto"/>
          <w:sz w:val="28"/>
          <w:szCs w:val="28"/>
          <w:highlight w:val="none"/>
        </w:rPr>
        <w:t>、签约等具体工作，并签署全部有关文件、协议及合同。</w:t>
      </w:r>
    </w:p>
    <w:p>
      <w:pPr>
        <w:tabs>
          <w:tab w:val="left" w:pos="6300"/>
        </w:tabs>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我单位对被授权人的签字负全部责任。</w:t>
      </w:r>
    </w:p>
    <w:p>
      <w:pPr>
        <w:tabs>
          <w:tab w:val="left" w:pos="6300"/>
        </w:tabs>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被授权人：                                 投标人法定代表人：</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（签字或盖章）                                （签字或盖章）</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（附：被授权人身份证正反面复印件）</w:t>
      </w: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p>
    <w:p>
      <w:pPr>
        <w:tabs>
          <w:tab w:val="left" w:pos="6300"/>
        </w:tabs>
        <w:snapToGrid w:val="0"/>
        <w:spacing w:line="500" w:lineRule="exact"/>
        <w:ind w:right="480" w:firstLine="570"/>
        <w:jc w:val="righ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（投标人公章）</w:t>
      </w:r>
    </w:p>
    <w:p>
      <w:pPr>
        <w:tabs>
          <w:tab w:val="left" w:pos="6300"/>
        </w:tabs>
        <w:snapToGrid w:val="0"/>
        <w:spacing w:line="500" w:lineRule="exact"/>
        <w:ind w:right="480" w:firstLine="570"/>
        <w:jc w:val="righ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年   月   日</w:t>
      </w:r>
    </w:p>
    <w:p>
      <w:pPr>
        <w:tabs>
          <w:tab w:val="left" w:pos="6300"/>
        </w:tabs>
        <w:snapToGrid w:val="0"/>
        <w:spacing w:line="500" w:lineRule="exact"/>
        <w:ind w:right="480"/>
        <w:jc w:val="both"/>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被授权人电话：XXXXXXX     电子邮箱：XXXXXX@XXXXX</w:t>
      </w:r>
    </w:p>
    <w:p>
      <w:pPr>
        <w:tabs>
          <w:tab w:val="left" w:pos="6300"/>
        </w:tabs>
        <w:snapToGrid w:val="0"/>
        <w:spacing w:line="500" w:lineRule="exact"/>
        <w:ind w:right="480" w:firstLine="570"/>
        <w:jc w:val="right"/>
        <w:rPr>
          <w:rFonts w:asciiTheme="minorEastAsia" w:hAnsiTheme="minorEastAsia" w:eastAsiaTheme="minorEastAsia"/>
          <w:color w:val="auto"/>
          <w:sz w:val="28"/>
          <w:szCs w:val="28"/>
          <w:highlight w:val="none"/>
        </w:rPr>
      </w:pPr>
    </w:p>
    <w:p>
      <w:pPr>
        <w:tabs>
          <w:tab w:val="left" w:pos="6300"/>
        </w:tabs>
        <w:snapToGrid w:val="0"/>
        <w:spacing w:line="500" w:lineRule="exact"/>
        <w:ind w:right="480" w:firstLine="57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注：1.若为法定代表人办理并签署</w:t>
      </w:r>
      <w:r>
        <w:rPr>
          <w:rFonts w:hint="eastAsia" w:asciiTheme="minorEastAsia" w:hAnsiTheme="minorEastAsia" w:eastAsiaTheme="minorEastAsia"/>
          <w:color w:val="auto"/>
          <w:sz w:val="28"/>
          <w:szCs w:val="28"/>
          <w:highlight w:val="none"/>
          <w:lang w:eastAsia="zh-CN"/>
        </w:rPr>
        <w:t>响应文件</w:t>
      </w:r>
      <w:r>
        <w:rPr>
          <w:rFonts w:hint="eastAsia" w:asciiTheme="minorEastAsia" w:hAnsiTheme="minorEastAsia" w:eastAsiaTheme="minorEastAsia"/>
          <w:color w:val="auto"/>
          <w:sz w:val="28"/>
          <w:szCs w:val="28"/>
          <w:highlight w:val="none"/>
        </w:rPr>
        <w:t>的，不提供此文件。</w:t>
      </w:r>
    </w:p>
    <w:p>
      <w:pPr>
        <w:spacing w:line="530" w:lineRule="exact"/>
        <w:jc w:val="left"/>
        <w:rPr>
          <w:rFonts w:hint="eastAsia" w:asciiTheme="minorEastAsia" w:hAnsiTheme="minorEastAsia" w:eastAsiaTheme="minorEastAsia"/>
          <w:color w:val="auto"/>
          <w:sz w:val="28"/>
          <w:szCs w:val="28"/>
          <w:highlight w:val="none"/>
          <w:lang w:val="en-US" w:eastAsia="zh-CN"/>
        </w:rPr>
      </w:pPr>
    </w:p>
    <w:p>
      <w:pPr>
        <w:spacing w:line="530" w:lineRule="exact"/>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附件四</w:t>
      </w:r>
    </w:p>
    <w:p>
      <w:pPr>
        <w:spacing w:line="530" w:lineRule="exact"/>
        <w:ind w:firstLine="560" w:firstLineChars="20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基本资格条件承诺函</w:t>
      </w:r>
    </w:p>
    <w:p>
      <w:pPr>
        <w:tabs>
          <w:tab w:val="left" w:pos="6300"/>
        </w:tabs>
        <w:snapToGrid w:val="0"/>
        <w:spacing w:line="53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pPr>
        <w:tabs>
          <w:tab w:val="left" w:pos="6300"/>
        </w:tabs>
        <w:snapToGrid w:val="0"/>
        <w:spacing w:line="53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（采购</w:t>
      </w:r>
      <w:r>
        <w:rPr>
          <w:rFonts w:hint="eastAsia" w:ascii="宋体" w:hAnsi="宋体" w:cs="宋体"/>
          <w:color w:val="auto"/>
          <w:sz w:val="28"/>
          <w:szCs w:val="28"/>
          <w:highlight w:val="none"/>
          <w:lang w:val="en-US" w:eastAsia="zh-CN"/>
        </w:rPr>
        <w:t>人</w:t>
      </w:r>
      <w:r>
        <w:rPr>
          <w:rFonts w:hint="eastAsia" w:ascii="宋体" w:hAnsi="宋体" w:eastAsia="宋体" w:cs="宋体"/>
          <w:color w:val="auto"/>
          <w:sz w:val="28"/>
          <w:szCs w:val="28"/>
          <w:highlight w:val="none"/>
        </w:rPr>
        <w:t>名称）：</w:t>
      </w:r>
    </w:p>
    <w:p>
      <w:pPr>
        <w:tabs>
          <w:tab w:val="left" w:pos="6300"/>
        </w:tabs>
        <w:snapToGrid w:val="0"/>
        <w:spacing w:line="53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（投标人名称）郑重承诺：</w:t>
      </w:r>
    </w:p>
    <w:p>
      <w:pPr>
        <w:spacing w:line="53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1.我方具有良好的商业信誉和健全的财务会计制度，具有履行合同所必需的设备和专业技术能力，具</w:t>
      </w:r>
      <w:r>
        <w:rPr>
          <w:rFonts w:hint="eastAsia" w:ascii="宋体" w:hAnsi="宋体" w:eastAsia="宋体" w:cs="宋体"/>
          <w:color w:val="auto"/>
          <w:sz w:val="28"/>
          <w:szCs w:val="28"/>
          <w:highlight w:val="none"/>
          <w:lang w:val="zh-CN"/>
        </w:rPr>
        <w:t>有依法缴纳税收和社会保障金的良好记录</w:t>
      </w:r>
      <w:r>
        <w:rPr>
          <w:rFonts w:hint="eastAsia" w:ascii="宋体" w:hAnsi="宋体" w:eastAsia="宋体" w:cs="宋体"/>
          <w:color w:val="auto"/>
          <w:sz w:val="28"/>
          <w:szCs w:val="28"/>
          <w:highlight w:val="none"/>
        </w:rPr>
        <w:t>，参加本项目采购活动前三年内无重大违法活动记录。</w:t>
      </w:r>
    </w:p>
    <w:p>
      <w:pPr>
        <w:spacing w:line="53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我方对以上承诺负全部法律责任。</w:t>
      </w:r>
    </w:p>
    <w:p>
      <w:pPr>
        <w:tabs>
          <w:tab w:val="left" w:pos="6300"/>
        </w:tabs>
        <w:snapToGrid w:val="0"/>
        <w:spacing w:line="53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p>
    <w:p>
      <w:pPr>
        <w:tabs>
          <w:tab w:val="left" w:pos="6300"/>
        </w:tabs>
        <w:snapToGrid w:val="0"/>
        <w:spacing w:line="530" w:lineRule="exact"/>
        <w:rPr>
          <w:rFonts w:hint="eastAsia" w:ascii="宋体" w:hAnsi="宋体" w:eastAsia="宋体" w:cs="宋体"/>
          <w:color w:val="auto"/>
          <w:sz w:val="28"/>
          <w:szCs w:val="28"/>
          <w:highlight w:val="none"/>
        </w:rPr>
      </w:pPr>
    </w:p>
    <w:p>
      <w:pPr>
        <w:tabs>
          <w:tab w:val="left" w:pos="6300"/>
        </w:tabs>
        <w:snapToGrid w:val="0"/>
        <w:spacing w:line="530" w:lineRule="exact"/>
        <w:ind w:right="424" w:firstLine="57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（投标人公章）</w:t>
      </w:r>
    </w:p>
    <w:p>
      <w:pPr>
        <w:tabs>
          <w:tab w:val="left" w:pos="6300"/>
        </w:tabs>
        <w:snapToGrid w:val="0"/>
        <w:spacing w:line="530" w:lineRule="exact"/>
        <w:ind w:right="424" w:firstLine="57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tabs>
          <w:tab w:val="left" w:pos="6300"/>
        </w:tabs>
        <w:snapToGrid w:val="0"/>
        <w:spacing w:line="500" w:lineRule="exact"/>
        <w:ind w:firstLine="570"/>
        <w:rPr>
          <w:rFonts w:hint="eastAsia" w:ascii="宋体" w:hAnsi="宋体" w:eastAsia="宋体" w:cs="宋体"/>
          <w:color w:val="auto"/>
          <w:sz w:val="28"/>
          <w:szCs w:val="28"/>
          <w:highlight w:val="none"/>
        </w:rPr>
      </w:pPr>
    </w:p>
    <w:p>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p>
    <w:p>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p>
    <w:p>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p>
    <w:p>
      <w:pPr>
        <w:pStyle w:val="18"/>
        <w:jc w:val="both"/>
        <w:rPr>
          <w:color w:val="auto"/>
          <w:highlight w:val="none"/>
        </w:rPr>
      </w:pPr>
    </w:p>
    <w:p>
      <w:pPr>
        <w:tabs>
          <w:tab w:val="left" w:pos="6300"/>
        </w:tabs>
        <w:snapToGrid w:val="0"/>
        <w:spacing w:line="500" w:lineRule="exact"/>
        <w:ind w:firstLine="57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附件五</w:t>
      </w:r>
    </w:p>
    <w:p>
      <w:pPr>
        <w:tabs>
          <w:tab w:val="left" w:pos="6300"/>
        </w:tabs>
        <w:snapToGrid w:val="0"/>
        <w:spacing w:line="5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服务条款差异表</w:t>
      </w:r>
    </w:p>
    <w:p>
      <w:pPr>
        <w:spacing w:line="500" w:lineRule="exact"/>
        <w:ind w:firstLine="720" w:firstLineChars="30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序号</w:t>
            </w: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遴选文件要求</w:t>
            </w: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响应应答</w:t>
            </w: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bl>
    <w:p>
      <w:pPr>
        <w:spacing w:line="500" w:lineRule="exact"/>
        <w:ind w:firstLine="600" w:firstLineChars="25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投标人：                                  法定代表人或法定代表人授权代表：</w:t>
      </w:r>
    </w:p>
    <w:p>
      <w:pPr>
        <w:spacing w:line="500" w:lineRule="exact"/>
        <w:rPr>
          <w:rFonts w:asciiTheme="minorEastAsia" w:hAnsiTheme="minorEastAsia" w:eastAsiaTheme="minorEastAsia"/>
          <w:color w:val="auto"/>
          <w:szCs w:val="28"/>
          <w:highlight w:val="none"/>
        </w:rPr>
      </w:pPr>
    </w:p>
    <w:p>
      <w:pPr>
        <w:spacing w:line="500" w:lineRule="exact"/>
        <w:ind w:firstLine="720" w:firstLineChars="30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（投标人公章）                               （签字或盖章）</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szCs w:val="28"/>
          <w:highlight w:val="none"/>
        </w:rPr>
        <w:t xml:space="preserve">                                            年     月     日</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1.本表即为对本项目“ </w:t>
      </w:r>
      <w:r>
        <w:rPr>
          <w:rFonts w:hint="eastAsia" w:asciiTheme="minorEastAsia" w:hAnsiTheme="minorEastAsia" w:eastAsiaTheme="minorEastAsia"/>
          <w:color w:val="auto"/>
          <w:highlight w:val="none"/>
          <w:lang w:val="zh-CN"/>
        </w:rPr>
        <w:t>第二部分  项目</w:t>
      </w:r>
      <w:r>
        <w:rPr>
          <w:rFonts w:hint="eastAsia" w:asciiTheme="minorEastAsia" w:hAnsiTheme="minorEastAsia" w:eastAsiaTheme="minorEastAsia"/>
          <w:color w:val="auto"/>
          <w:highlight w:val="none"/>
        </w:rPr>
        <w:t>技术</w:t>
      </w:r>
      <w:r>
        <w:rPr>
          <w:rFonts w:hint="eastAsia" w:asciiTheme="minorEastAsia" w:hAnsiTheme="minorEastAsia" w:eastAsiaTheme="minorEastAsia"/>
          <w:color w:val="auto"/>
          <w:highlight w:val="none"/>
          <w:lang w:val="zh-CN"/>
        </w:rPr>
        <w:t>及商务要求</w:t>
      </w:r>
      <w:r>
        <w:rPr>
          <w:rFonts w:hint="eastAsia" w:asciiTheme="minorEastAsia" w:hAnsiTheme="minorEastAsia" w:eastAsiaTheme="minorEastAsia"/>
          <w:color w:val="auto"/>
          <w:highlight w:val="none"/>
        </w:rPr>
        <w:t>”中所列服务需求进行比较和响应；</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2.该表必须按照</w:t>
      </w:r>
      <w:r>
        <w:rPr>
          <w:rFonts w:hint="eastAsia" w:asciiTheme="minorEastAsia" w:hAnsiTheme="minorEastAsia" w:eastAsiaTheme="minorEastAsia"/>
          <w:color w:val="auto"/>
          <w:highlight w:val="none"/>
          <w:lang w:eastAsia="zh-CN"/>
        </w:rPr>
        <w:t>采购文件</w:t>
      </w:r>
      <w:r>
        <w:rPr>
          <w:rFonts w:hint="eastAsia" w:asciiTheme="minorEastAsia" w:hAnsiTheme="minorEastAsia" w:eastAsiaTheme="minorEastAsia"/>
          <w:color w:val="auto"/>
          <w:highlight w:val="none"/>
        </w:rPr>
        <w:t>要求逐条如实填写，根据投标情况在“差异说明”项填写正偏离或负偏离及原因，完全符合的填写“无差异”；</w:t>
      </w:r>
    </w:p>
    <w:p>
      <w:pPr>
        <w:spacing w:line="560" w:lineRule="exact"/>
        <w:ind w:firstLine="480" w:firstLineChars="200"/>
        <w:rPr>
          <w:rFonts w:cs="方正仿宋_GBK" w:asciiTheme="minorEastAsia" w:hAnsiTheme="minorEastAsia" w:eastAsiaTheme="minorEastAsia"/>
          <w:color w:val="auto"/>
          <w:sz w:val="28"/>
          <w:szCs w:val="28"/>
          <w:highlight w:val="none"/>
        </w:rPr>
      </w:pPr>
      <w:r>
        <w:rPr>
          <w:rFonts w:hint="eastAsia" w:asciiTheme="minorEastAsia" w:hAnsiTheme="minorEastAsia" w:eastAsiaTheme="minorEastAsia"/>
          <w:color w:val="auto"/>
          <w:highlight w:val="none"/>
        </w:rPr>
        <w:t>3.该表可扩展。</w:t>
      </w:r>
    </w:p>
    <w:p>
      <w:pPr>
        <w:rPr>
          <w:rFonts w:cs="方正仿宋_GBK" w:asciiTheme="minorEastAsia" w:hAnsiTheme="minorEastAsia" w:eastAsiaTheme="minorEastAsia"/>
          <w:color w:val="auto"/>
          <w:sz w:val="28"/>
          <w:szCs w:val="28"/>
          <w:highlight w:val="none"/>
        </w:rPr>
      </w:pPr>
      <w:r>
        <w:rPr>
          <w:rFonts w:hint="eastAsia" w:cs="方正仿宋_GBK" w:asciiTheme="minorEastAsia" w:hAnsiTheme="minorEastAsia" w:eastAsiaTheme="minorEastAsia"/>
          <w:color w:val="auto"/>
          <w:sz w:val="28"/>
          <w:szCs w:val="28"/>
          <w:highlight w:val="none"/>
        </w:rPr>
        <w:t>附件六</w:t>
      </w:r>
    </w:p>
    <w:p>
      <w:pPr>
        <w:spacing w:line="500" w:lineRule="exact"/>
        <w:ind w:firstLine="720" w:firstLineChars="300"/>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highlight w:val="none"/>
        </w:rPr>
        <w:t>商务条款差异表</w:t>
      </w:r>
    </w:p>
    <w:p>
      <w:pPr>
        <w:spacing w:line="500" w:lineRule="exact"/>
        <w:ind w:firstLine="840" w:firstLineChars="300"/>
        <w:rPr>
          <w:rFonts w:asciiTheme="minorEastAsia" w:hAnsiTheme="minorEastAsia" w:eastAsiaTheme="minorEastAsia"/>
          <w:color w:val="auto"/>
          <w:szCs w:val="28"/>
          <w:highlight w:val="none"/>
        </w:rPr>
      </w:pPr>
      <w:r>
        <w:rPr>
          <w:rFonts w:hint="eastAsia" w:asciiTheme="minorEastAsia" w:hAnsiTheme="minorEastAsia" w:eastAsiaTheme="minorEastAsia"/>
          <w:color w:val="auto"/>
          <w:sz w:val="28"/>
          <w:szCs w:val="28"/>
          <w:highlight w:val="none"/>
        </w:rPr>
        <w:t>遴选项目名称</w:t>
      </w:r>
      <w:r>
        <w:rPr>
          <w:rFonts w:hint="eastAsia" w:asciiTheme="minorEastAsia" w:hAnsiTheme="minorEastAsia" w:eastAsiaTheme="minorEastAsia"/>
          <w:color w:val="auto"/>
          <w:szCs w:val="28"/>
          <w:highlight w:val="none"/>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序号</w:t>
            </w: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招标商务要求</w:t>
            </w: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投标商务应答</w:t>
            </w: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bl>
    <w:p>
      <w:pPr>
        <w:spacing w:line="500" w:lineRule="exact"/>
        <w:ind w:firstLine="600" w:firstLineChars="250"/>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投标人：                            法定代表人或法定代表人授权代表：</w:t>
      </w:r>
    </w:p>
    <w:p>
      <w:pPr>
        <w:spacing w:line="500" w:lineRule="exact"/>
        <w:rPr>
          <w:rFonts w:asciiTheme="minorEastAsia" w:hAnsiTheme="minorEastAsia" w:eastAsiaTheme="minorEastAsia"/>
          <w:color w:val="auto"/>
          <w:szCs w:val="28"/>
          <w:highlight w:val="none"/>
        </w:rPr>
      </w:pPr>
    </w:p>
    <w:p>
      <w:pPr>
        <w:spacing w:line="500" w:lineRule="exac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 xml:space="preserve">    （投标人公章）                               （签字或盖章）</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szCs w:val="28"/>
          <w:highlight w:val="none"/>
        </w:rPr>
        <w:t xml:space="preserve">                                            年     月     日</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1.本表即为对本项目“</w:t>
      </w:r>
      <w:r>
        <w:rPr>
          <w:rFonts w:hint="eastAsia" w:asciiTheme="minorEastAsia" w:hAnsiTheme="minorEastAsia" w:eastAsiaTheme="minorEastAsia"/>
          <w:color w:val="auto"/>
          <w:highlight w:val="none"/>
          <w:lang w:val="zh-CN"/>
        </w:rPr>
        <w:t>第二部分  项目</w:t>
      </w:r>
      <w:r>
        <w:rPr>
          <w:rFonts w:hint="eastAsia" w:asciiTheme="minorEastAsia" w:hAnsiTheme="minorEastAsia" w:eastAsiaTheme="minorEastAsia"/>
          <w:color w:val="auto"/>
          <w:highlight w:val="none"/>
        </w:rPr>
        <w:t>技术</w:t>
      </w:r>
      <w:r>
        <w:rPr>
          <w:rFonts w:hint="eastAsia" w:asciiTheme="minorEastAsia" w:hAnsiTheme="minorEastAsia" w:eastAsiaTheme="minorEastAsia"/>
          <w:color w:val="auto"/>
          <w:highlight w:val="none"/>
          <w:lang w:val="zh-CN"/>
        </w:rPr>
        <w:t>及商务要求</w:t>
      </w:r>
      <w:r>
        <w:rPr>
          <w:rFonts w:hint="eastAsia" w:asciiTheme="minorEastAsia" w:hAnsiTheme="minorEastAsia" w:eastAsiaTheme="minorEastAsia"/>
          <w:color w:val="auto"/>
          <w:highlight w:val="none"/>
        </w:rPr>
        <w:t>”中所列商务条款进行比较和响应；</w:t>
      </w:r>
    </w:p>
    <w:p>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2.该表必须按照</w:t>
      </w:r>
      <w:r>
        <w:rPr>
          <w:rFonts w:hint="eastAsia" w:asciiTheme="minorEastAsia" w:hAnsiTheme="minorEastAsia" w:eastAsiaTheme="minorEastAsia"/>
          <w:color w:val="auto"/>
          <w:highlight w:val="none"/>
          <w:lang w:eastAsia="zh-CN"/>
        </w:rPr>
        <w:t>采购文件</w:t>
      </w:r>
      <w:r>
        <w:rPr>
          <w:rFonts w:hint="eastAsia" w:asciiTheme="minorEastAsia" w:hAnsiTheme="minorEastAsia" w:eastAsiaTheme="minorEastAsia"/>
          <w:color w:val="auto"/>
          <w:highlight w:val="none"/>
        </w:rPr>
        <w:t>要求逐条如实填写，根据投标情况在“差异说明”项填写正偏离或负偏离及原因，完全符合的填写“无差异”。</w:t>
      </w:r>
    </w:p>
    <w:p>
      <w:pPr>
        <w:ind w:firstLine="600" w:firstLineChars="250"/>
        <w:rPr>
          <w:rFonts w:cs="方正仿宋_GBK" w:asciiTheme="minorEastAsia" w:hAnsiTheme="minorEastAsia" w:eastAsiaTheme="minorEastAsia"/>
          <w:color w:val="auto"/>
          <w:sz w:val="28"/>
          <w:szCs w:val="28"/>
          <w:highlight w:val="none"/>
        </w:rPr>
      </w:pPr>
      <w:r>
        <w:rPr>
          <w:rFonts w:hint="eastAsia" w:asciiTheme="minorEastAsia" w:hAnsiTheme="minorEastAsia" w:eastAsiaTheme="minorEastAsia"/>
          <w:color w:val="auto"/>
          <w:highlight w:val="none"/>
        </w:rPr>
        <w:t>3.该表可扩展。</w:t>
      </w:r>
    </w:p>
    <w:p>
      <w:pPr>
        <w:rPr>
          <w:rFonts w:cs="方正仿宋_GBK" w:asciiTheme="minorEastAsia" w:hAnsiTheme="minorEastAsia" w:eastAsiaTheme="minorEastAsia"/>
          <w:color w:val="auto"/>
          <w:sz w:val="28"/>
          <w:szCs w:val="28"/>
          <w:highlight w:val="none"/>
        </w:rPr>
      </w:pPr>
    </w:p>
    <w:p>
      <w:pPr>
        <w:spacing w:line="50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附件七</w:t>
      </w:r>
    </w:p>
    <w:p>
      <w:pPr>
        <w:jc w:val="center"/>
        <w:rPr>
          <w:rFonts w:cs="方正仿宋_GBK" w:asciiTheme="minorEastAsia" w:hAnsiTheme="minorEastAsia" w:eastAsiaTheme="minorEastAsia"/>
          <w:color w:val="auto"/>
          <w:sz w:val="36"/>
          <w:highlight w:val="none"/>
          <w:lang w:val="zh-CN"/>
        </w:rPr>
      </w:pPr>
      <w:r>
        <w:rPr>
          <w:rFonts w:hint="eastAsia" w:cs="方正仿宋_GBK" w:asciiTheme="minorEastAsia" w:hAnsiTheme="minorEastAsia" w:eastAsiaTheme="minorEastAsia"/>
          <w:color w:val="auto"/>
          <w:sz w:val="36"/>
          <w:highlight w:val="none"/>
          <w:lang w:val="zh-CN"/>
        </w:rPr>
        <w:t>资历和业绩</w:t>
      </w:r>
    </w:p>
    <w:p>
      <w:pPr>
        <w:jc w:val="center"/>
        <w:rPr>
          <w:rFonts w:cs="方正仿宋_GBK" w:asciiTheme="minorEastAsia" w:hAnsiTheme="minorEastAsia" w:eastAsiaTheme="minorEastAsia"/>
          <w:color w:val="auto"/>
          <w:highlight w:val="none"/>
          <w:lang w:val="zh-CN"/>
        </w:rPr>
      </w:pPr>
      <w:r>
        <w:rPr>
          <w:rFonts w:hint="eastAsia" w:cs="方正仿宋_GBK" w:asciiTheme="minorEastAsia" w:hAnsiTheme="minorEastAsia" w:eastAsiaTheme="minorEastAsia"/>
          <w:color w:val="auto"/>
          <w:highlight w:val="none"/>
          <w:lang w:val="zh-CN"/>
        </w:rPr>
        <w:t>（格式自拟）</w:t>
      </w: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p>
    <w:p>
      <w:pPr>
        <w:jc w:val="center"/>
        <w:rPr>
          <w:rFonts w:cs="方正仿宋_GBK" w:asciiTheme="minorEastAsia" w:hAnsiTheme="minorEastAsia" w:eastAsiaTheme="minorEastAsia"/>
          <w:color w:val="auto"/>
          <w:highlight w:val="none"/>
          <w:lang w:val="zh-CN"/>
        </w:rPr>
      </w:pPr>
      <w:r>
        <w:rPr>
          <w:rFonts w:hint="eastAsia" w:cs="方正仿宋_GBK" w:asciiTheme="minorEastAsia" w:hAnsiTheme="minorEastAsia" w:eastAsiaTheme="minorEastAsia"/>
          <w:color w:val="auto"/>
          <w:highlight w:val="none"/>
          <w:lang w:val="zh-CN"/>
        </w:rPr>
        <w:t>（结束）</w:t>
      </w:r>
    </w:p>
    <w:sectPr>
      <w:headerReference r:id="rId16" w:type="first"/>
      <w:footerReference r:id="rId19" w:type="first"/>
      <w:headerReference r:id="rId14" w:type="default"/>
      <w:footerReference r:id="rId17" w:type="default"/>
      <w:headerReference r:id="rId15" w:type="even"/>
      <w:footerReference r:id="rId18" w:type="even"/>
      <w:pgSz w:w="11906" w:h="16838"/>
      <w:pgMar w:top="1985" w:right="1474" w:bottom="1701" w:left="1588" w:header="851" w:footer="851" w:gutter="0"/>
      <w:pgNumType w:fmt="numberInDash"/>
      <w:cols w:space="425"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6" w:y="209"/>
      <w:rPr>
        <w:rStyle w:val="24"/>
      </w:rPr>
    </w:pPr>
    <w:r>
      <w:rPr>
        <w:rStyle w:val="24"/>
      </w:rPr>
      <w:fldChar w:fldCharType="begin"/>
    </w:r>
    <w:r>
      <w:rPr>
        <w:rStyle w:val="24"/>
      </w:rPr>
      <w:instrText xml:space="preserve">PAGE  </w:instrText>
    </w:r>
    <w:r>
      <w:rPr>
        <w:rStyle w:val="24"/>
      </w:rPr>
      <w:fldChar w:fldCharType="separate"/>
    </w:r>
    <w:r>
      <w:rPr>
        <w:rStyle w:val="24"/>
      </w:rPr>
      <w:t>- 7 -</w:t>
    </w:r>
    <w:r>
      <w:rPr>
        <w:rStyle w:val="24"/>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- 2 -</w:t>
    </w:r>
    <w:r>
      <w:rPr>
        <w:rStyle w:val="24"/>
      </w:rPr>
      <w:fldChar w:fldCharType="end"/>
    </w:r>
  </w:p>
  <w:p>
    <w:pPr>
      <w:pStyle w:val="15"/>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6" w:y="239"/>
      <w:rPr>
        <w:rStyle w:val="24"/>
      </w:rPr>
    </w:pPr>
    <w:r>
      <w:rPr>
        <w:rStyle w:val="24"/>
      </w:rPr>
      <w:fldChar w:fldCharType="begin"/>
    </w:r>
    <w:r>
      <w:rPr>
        <w:rStyle w:val="24"/>
      </w:rPr>
      <w:instrText xml:space="preserve">PAGE  </w:instrText>
    </w:r>
    <w:r>
      <w:rPr>
        <w:rStyle w:val="24"/>
      </w:rPr>
      <w:fldChar w:fldCharType="separate"/>
    </w:r>
    <w:r>
      <w:rPr>
        <w:rStyle w:val="24"/>
      </w:rPr>
      <w:t>- 42 -</w:t>
    </w:r>
    <w:r>
      <w:rPr>
        <w:rStyle w:val="24"/>
      </w:rPr>
      <w:fldChar w:fldCharType="end"/>
    </w:r>
  </w:p>
  <w:p>
    <w:pPr>
      <w:pStyle w:val="15"/>
      <w:rPr>
        <w:rFonts w:ascii="宋体" w:hAnsi="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- 44 -</w:t>
    </w:r>
    <w:r>
      <w:rPr>
        <w:rStyle w:val="24"/>
      </w:rP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- 33 -</w:t>
    </w:r>
    <w:r>
      <w:rPr>
        <w:rStyle w:val="24"/>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cs="宋体"/>
      </w:rPr>
    </w:pPr>
    <w:r>
      <w:rPr>
        <w:rFonts w:hint="eastAsia" w:ascii="宋体" w:hAnsi="宋体" w:cs="宋体"/>
        <w:szCs w:val="18"/>
      </w:rPr>
      <w:t>重庆工程职业技术学院项目采购代理机构遴选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cs="宋体"/>
      </w:rPr>
    </w:pPr>
    <w:r>
      <w:rPr>
        <w:rFonts w:hint="eastAsia" w:ascii="宋体" w:hAnsi="宋体" w:cs="宋体"/>
        <w:szCs w:val="18"/>
      </w:rPr>
      <w:t>重庆工程职业技术学院项目采购代理机构遴选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szCs w:val="18"/>
      </w:rPr>
      <w:t>重庆工程职业技术学院</w:t>
    </w:r>
    <w:r>
      <w:rPr>
        <w:rFonts w:hint="eastAsia" w:ascii="宋体" w:hAnsi="宋体" w:cs="宋体"/>
        <w:szCs w:val="18"/>
        <w:lang w:val="en-US" w:eastAsia="zh-CN"/>
      </w:rPr>
      <w:t>项目</w:t>
    </w:r>
    <w:r>
      <w:rPr>
        <w:rFonts w:hint="eastAsia" w:ascii="宋体" w:hAnsi="宋体" w:cs="宋体"/>
        <w:szCs w:val="18"/>
      </w:rPr>
      <w:t>采购代理机构遴选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szCs w:val="18"/>
      </w:rPr>
      <w:t>重庆工程职业技术学院项目采购代理机构遴选</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szCs w:val="18"/>
      </w:rPr>
      <w:t>重庆工程职业技术学院</w:t>
    </w:r>
    <w:r>
      <w:rPr>
        <w:rFonts w:hint="eastAsia" w:ascii="宋体" w:hAnsi="宋体" w:cs="宋体"/>
        <w:szCs w:val="18"/>
        <w:lang w:val="en-US" w:eastAsia="zh-CN"/>
      </w:rPr>
      <w:t>项目</w:t>
    </w:r>
    <w:r>
      <w:rPr>
        <w:rFonts w:hint="eastAsia" w:ascii="宋体" w:hAnsi="宋体" w:cs="宋体"/>
        <w:szCs w:val="18"/>
      </w:rPr>
      <w:t>采购代理机构遴选</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szCs w:val="18"/>
      </w:rPr>
      <w:t>重庆工程职业技术学院</w:t>
    </w:r>
    <w:r>
      <w:rPr>
        <w:rFonts w:hint="eastAsia" w:ascii="宋体" w:hAnsi="宋体" w:cs="宋体"/>
        <w:szCs w:val="18"/>
        <w:lang w:val="en-US" w:eastAsia="zh-CN"/>
      </w:rPr>
      <w:t>项目</w:t>
    </w:r>
    <w:r>
      <w:rPr>
        <w:rFonts w:hint="eastAsia" w:ascii="宋体" w:hAnsi="宋体" w:cs="宋体"/>
        <w:szCs w:val="18"/>
      </w:rPr>
      <w:t>采购代理机构遴选</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szCs w:val="18"/>
      </w:rPr>
      <w:t>重庆工程职业技术学院</w:t>
    </w:r>
    <w:r>
      <w:rPr>
        <w:rFonts w:hint="eastAsia" w:ascii="宋体" w:hAnsi="宋体" w:cs="宋体"/>
        <w:szCs w:val="18"/>
        <w:lang w:val="en-US" w:eastAsia="zh-CN"/>
      </w:rPr>
      <w:t>项目</w:t>
    </w:r>
    <w:r>
      <w:rPr>
        <w:rFonts w:hint="eastAsia" w:ascii="宋体" w:hAnsi="宋体" w:cs="宋体"/>
        <w:szCs w:val="18"/>
      </w:rPr>
      <w:t>采购代理机构遴选</w:t>
    </w:r>
    <w:r>
      <w:rPr>
        <w:rFonts w:hint="eastAsia" w:ascii="宋体" w:hAnsi="宋体" w:cs="宋体"/>
      </w:rPr>
      <w:t>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方正楷体_GBK" w:eastAsia="方正楷体_GBK"/>
      </w:rPr>
    </w:pPr>
    <w:r>
      <w:rPr>
        <w:rFonts w:hint="eastAsia"/>
      </w:rPr>
      <w:t>采购文件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DDA7D"/>
    <w:multiLevelType w:val="singleLevel"/>
    <w:tmpl w:val="803DDA7D"/>
    <w:lvl w:ilvl="0" w:tentative="0">
      <w:start w:val="1"/>
      <w:numFmt w:val="decimal"/>
      <w:suff w:val="nothing"/>
      <w:lvlText w:val="（%1）"/>
      <w:lvlJc w:val="left"/>
    </w:lvl>
  </w:abstractNum>
  <w:abstractNum w:abstractNumId="1">
    <w:nsid w:val="8141BE0D"/>
    <w:multiLevelType w:val="singleLevel"/>
    <w:tmpl w:val="8141BE0D"/>
    <w:lvl w:ilvl="0" w:tentative="0">
      <w:start w:val="1"/>
      <w:numFmt w:val="decimal"/>
      <w:lvlText w:val="%1."/>
      <w:lvlJc w:val="left"/>
      <w:pPr>
        <w:tabs>
          <w:tab w:val="left" w:pos="312"/>
        </w:tabs>
      </w:pPr>
    </w:lvl>
  </w:abstractNum>
  <w:abstractNum w:abstractNumId="2">
    <w:nsid w:val="90835AAF"/>
    <w:multiLevelType w:val="singleLevel"/>
    <w:tmpl w:val="90835AAF"/>
    <w:lvl w:ilvl="0" w:tentative="0">
      <w:start w:val="3"/>
      <w:numFmt w:val="chineseCounting"/>
      <w:suff w:val="nothing"/>
      <w:lvlText w:val="%1、"/>
      <w:lvlJc w:val="left"/>
      <w:rPr>
        <w:rFonts w:hint="eastAsia"/>
      </w:rPr>
    </w:lvl>
  </w:abstractNum>
  <w:abstractNum w:abstractNumId="3">
    <w:nsid w:val="B8BFF1BE"/>
    <w:multiLevelType w:val="singleLevel"/>
    <w:tmpl w:val="B8BFF1BE"/>
    <w:lvl w:ilvl="0" w:tentative="0">
      <w:start w:val="2"/>
      <w:numFmt w:val="chineseCounting"/>
      <w:suff w:val="nothing"/>
      <w:lvlText w:val="%1、"/>
      <w:lvlJc w:val="left"/>
      <w:rPr>
        <w:rFonts w:hint="eastAsia"/>
      </w:rPr>
    </w:lvl>
  </w:abstractNum>
  <w:abstractNum w:abstractNumId="4">
    <w:nsid w:val="C149D80F"/>
    <w:multiLevelType w:val="singleLevel"/>
    <w:tmpl w:val="C149D80F"/>
    <w:lvl w:ilvl="0" w:tentative="0">
      <w:start w:val="3"/>
      <w:numFmt w:val="chineseCounting"/>
      <w:suff w:val="space"/>
      <w:lvlText w:val="第%1部分"/>
      <w:lvlJc w:val="left"/>
      <w:rPr>
        <w:rFonts w:hint="eastAsia"/>
      </w:rPr>
    </w:lvl>
  </w:abstractNum>
  <w:abstractNum w:abstractNumId="5">
    <w:nsid w:val="EB432E53"/>
    <w:multiLevelType w:val="singleLevel"/>
    <w:tmpl w:val="EB432E53"/>
    <w:lvl w:ilvl="0" w:tentative="0">
      <w:start w:val="1"/>
      <w:numFmt w:val="decimal"/>
      <w:lvlText w:val="%1."/>
      <w:lvlJc w:val="left"/>
      <w:pPr>
        <w:tabs>
          <w:tab w:val="left" w:pos="312"/>
        </w:tabs>
      </w:pPr>
    </w:lvl>
  </w:abstractNum>
  <w:abstractNum w:abstractNumId="6">
    <w:nsid w:val="F0421936"/>
    <w:multiLevelType w:val="singleLevel"/>
    <w:tmpl w:val="F0421936"/>
    <w:lvl w:ilvl="0" w:tentative="0">
      <w:start w:val="1"/>
      <w:numFmt w:val="decimal"/>
      <w:suff w:val="nothing"/>
      <w:lvlText w:val="（%1）"/>
      <w:lvlJc w:val="left"/>
    </w:lvl>
  </w:abstractNum>
  <w:abstractNum w:abstractNumId="7">
    <w:nsid w:val="043F7A49"/>
    <w:multiLevelType w:val="singleLevel"/>
    <w:tmpl w:val="043F7A49"/>
    <w:lvl w:ilvl="0" w:tentative="0">
      <w:start w:val="4"/>
      <w:numFmt w:val="decimal"/>
      <w:suff w:val="nothing"/>
      <w:lvlText w:val="（%1）"/>
      <w:lvlJc w:val="left"/>
    </w:lvl>
  </w:abstractNum>
  <w:abstractNum w:abstractNumId="8">
    <w:nsid w:val="047AFB96"/>
    <w:multiLevelType w:val="singleLevel"/>
    <w:tmpl w:val="047AFB96"/>
    <w:lvl w:ilvl="0" w:tentative="0">
      <w:start w:val="1"/>
      <w:numFmt w:val="decimal"/>
      <w:suff w:val="nothing"/>
      <w:lvlText w:val="（%1）"/>
      <w:lvlJc w:val="left"/>
    </w:lvl>
  </w:abstractNum>
  <w:abstractNum w:abstractNumId="9">
    <w:nsid w:val="0BABA2CD"/>
    <w:multiLevelType w:val="singleLevel"/>
    <w:tmpl w:val="0BABA2CD"/>
    <w:lvl w:ilvl="0" w:tentative="0">
      <w:start w:val="2"/>
      <w:numFmt w:val="decimal"/>
      <w:lvlText w:val="%1."/>
      <w:lvlJc w:val="left"/>
      <w:pPr>
        <w:tabs>
          <w:tab w:val="left" w:pos="312"/>
        </w:tabs>
      </w:pPr>
    </w:lvl>
  </w:abstractNum>
  <w:num w:numId="1">
    <w:abstractNumId w:val="3"/>
  </w:num>
  <w:num w:numId="2">
    <w:abstractNumId w:val="4"/>
  </w:num>
  <w:num w:numId="3">
    <w:abstractNumId w:val="2"/>
  </w:num>
  <w:num w:numId="4">
    <w:abstractNumId w:val="7"/>
  </w:num>
  <w:num w:numId="5">
    <w:abstractNumId w:val="1"/>
  </w:num>
  <w:num w:numId="6">
    <w:abstractNumId w:val="8"/>
  </w:num>
  <w:num w:numId="7">
    <w:abstractNumId w:val="9"/>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9"/>
  <w:drawingGridHorizontalSpacing w:val="117"/>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zJhNmYzZTQxMDFiOWJkYjNmMmQ5MmY5YWViNTYifQ=="/>
  </w:docVars>
  <w:rsids>
    <w:rsidRoot w:val="00217D2D"/>
    <w:rsid w:val="000007A0"/>
    <w:rsid w:val="00001E66"/>
    <w:rsid w:val="00004122"/>
    <w:rsid w:val="00005A8D"/>
    <w:rsid w:val="00005CE0"/>
    <w:rsid w:val="0001038F"/>
    <w:rsid w:val="000106B7"/>
    <w:rsid w:val="00010DCE"/>
    <w:rsid w:val="000111D4"/>
    <w:rsid w:val="00011C4F"/>
    <w:rsid w:val="00012ECF"/>
    <w:rsid w:val="000141C9"/>
    <w:rsid w:val="00015196"/>
    <w:rsid w:val="00015E6A"/>
    <w:rsid w:val="00016B1A"/>
    <w:rsid w:val="00020404"/>
    <w:rsid w:val="000208B4"/>
    <w:rsid w:val="00022FE0"/>
    <w:rsid w:val="0002312B"/>
    <w:rsid w:val="00024C9B"/>
    <w:rsid w:val="00024E5F"/>
    <w:rsid w:val="000250B2"/>
    <w:rsid w:val="000273BF"/>
    <w:rsid w:val="00027704"/>
    <w:rsid w:val="00027AFB"/>
    <w:rsid w:val="00031BC2"/>
    <w:rsid w:val="00031DC8"/>
    <w:rsid w:val="000326B0"/>
    <w:rsid w:val="000328A4"/>
    <w:rsid w:val="00033134"/>
    <w:rsid w:val="000339EA"/>
    <w:rsid w:val="00033E33"/>
    <w:rsid w:val="00034B32"/>
    <w:rsid w:val="00034BDA"/>
    <w:rsid w:val="00035FD4"/>
    <w:rsid w:val="00037396"/>
    <w:rsid w:val="00037F76"/>
    <w:rsid w:val="00040050"/>
    <w:rsid w:val="000418BB"/>
    <w:rsid w:val="0004287C"/>
    <w:rsid w:val="000434DA"/>
    <w:rsid w:val="00047FF6"/>
    <w:rsid w:val="00050F71"/>
    <w:rsid w:val="0005268D"/>
    <w:rsid w:val="00052C85"/>
    <w:rsid w:val="0005320D"/>
    <w:rsid w:val="00055170"/>
    <w:rsid w:val="000554AD"/>
    <w:rsid w:val="0005711A"/>
    <w:rsid w:val="00060F05"/>
    <w:rsid w:val="00061E0D"/>
    <w:rsid w:val="000638C7"/>
    <w:rsid w:val="00063E28"/>
    <w:rsid w:val="00064B09"/>
    <w:rsid w:val="0006598F"/>
    <w:rsid w:val="00065BFF"/>
    <w:rsid w:val="00067156"/>
    <w:rsid w:val="000673FB"/>
    <w:rsid w:val="00071DFF"/>
    <w:rsid w:val="00071FC9"/>
    <w:rsid w:val="000748FD"/>
    <w:rsid w:val="0007650D"/>
    <w:rsid w:val="00076D01"/>
    <w:rsid w:val="000770B2"/>
    <w:rsid w:val="0008051D"/>
    <w:rsid w:val="00080F41"/>
    <w:rsid w:val="00082019"/>
    <w:rsid w:val="0008213D"/>
    <w:rsid w:val="0008304C"/>
    <w:rsid w:val="00085AF4"/>
    <w:rsid w:val="00086590"/>
    <w:rsid w:val="0009006B"/>
    <w:rsid w:val="00090917"/>
    <w:rsid w:val="00090A98"/>
    <w:rsid w:val="00091628"/>
    <w:rsid w:val="0009234F"/>
    <w:rsid w:val="00092C59"/>
    <w:rsid w:val="000930AB"/>
    <w:rsid w:val="000938B5"/>
    <w:rsid w:val="00096CAB"/>
    <w:rsid w:val="000978B9"/>
    <w:rsid w:val="000A2D48"/>
    <w:rsid w:val="000A3F16"/>
    <w:rsid w:val="000A58A2"/>
    <w:rsid w:val="000A59BD"/>
    <w:rsid w:val="000A7ACA"/>
    <w:rsid w:val="000B0B64"/>
    <w:rsid w:val="000B19E1"/>
    <w:rsid w:val="000B288A"/>
    <w:rsid w:val="000B2C08"/>
    <w:rsid w:val="000B4595"/>
    <w:rsid w:val="000B489E"/>
    <w:rsid w:val="000B5167"/>
    <w:rsid w:val="000B522D"/>
    <w:rsid w:val="000B5732"/>
    <w:rsid w:val="000C2D19"/>
    <w:rsid w:val="000C3D5F"/>
    <w:rsid w:val="000C4B0F"/>
    <w:rsid w:val="000C4FBF"/>
    <w:rsid w:val="000C5B54"/>
    <w:rsid w:val="000C76AC"/>
    <w:rsid w:val="000C7C14"/>
    <w:rsid w:val="000D00CB"/>
    <w:rsid w:val="000D1737"/>
    <w:rsid w:val="000D228A"/>
    <w:rsid w:val="000D442C"/>
    <w:rsid w:val="000D5BA7"/>
    <w:rsid w:val="000D6C44"/>
    <w:rsid w:val="000E1146"/>
    <w:rsid w:val="000E203A"/>
    <w:rsid w:val="000E22EF"/>
    <w:rsid w:val="000E25A7"/>
    <w:rsid w:val="000E4B1A"/>
    <w:rsid w:val="000E697D"/>
    <w:rsid w:val="000F04EC"/>
    <w:rsid w:val="000F08CE"/>
    <w:rsid w:val="000F0CDD"/>
    <w:rsid w:val="000F1589"/>
    <w:rsid w:val="000F3932"/>
    <w:rsid w:val="000F3C90"/>
    <w:rsid w:val="000F52EB"/>
    <w:rsid w:val="000F5CBE"/>
    <w:rsid w:val="000F7B24"/>
    <w:rsid w:val="00100AFB"/>
    <w:rsid w:val="00101277"/>
    <w:rsid w:val="00101F28"/>
    <w:rsid w:val="00104543"/>
    <w:rsid w:val="00104F74"/>
    <w:rsid w:val="001068F4"/>
    <w:rsid w:val="00107985"/>
    <w:rsid w:val="0011211E"/>
    <w:rsid w:val="001124EB"/>
    <w:rsid w:val="001127D2"/>
    <w:rsid w:val="00113999"/>
    <w:rsid w:val="00114D82"/>
    <w:rsid w:val="00115357"/>
    <w:rsid w:val="001169D4"/>
    <w:rsid w:val="001173F8"/>
    <w:rsid w:val="00122121"/>
    <w:rsid w:val="00122318"/>
    <w:rsid w:val="00123369"/>
    <w:rsid w:val="00123BC4"/>
    <w:rsid w:val="00124800"/>
    <w:rsid w:val="00124976"/>
    <w:rsid w:val="00124A71"/>
    <w:rsid w:val="00126AAB"/>
    <w:rsid w:val="00130269"/>
    <w:rsid w:val="001316F5"/>
    <w:rsid w:val="00131F95"/>
    <w:rsid w:val="001328E9"/>
    <w:rsid w:val="00132B64"/>
    <w:rsid w:val="001349F3"/>
    <w:rsid w:val="00136A82"/>
    <w:rsid w:val="00136C76"/>
    <w:rsid w:val="00137D8B"/>
    <w:rsid w:val="00137F03"/>
    <w:rsid w:val="00141F2D"/>
    <w:rsid w:val="0014200F"/>
    <w:rsid w:val="00144988"/>
    <w:rsid w:val="00145143"/>
    <w:rsid w:val="00151E5A"/>
    <w:rsid w:val="00152A9E"/>
    <w:rsid w:val="001540AC"/>
    <w:rsid w:val="00156955"/>
    <w:rsid w:val="00156CC1"/>
    <w:rsid w:val="001601D5"/>
    <w:rsid w:val="00162F92"/>
    <w:rsid w:val="0016446E"/>
    <w:rsid w:val="00164C6F"/>
    <w:rsid w:val="00167295"/>
    <w:rsid w:val="001674AE"/>
    <w:rsid w:val="0016773C"/>
    <w:rsid w:val="00167764"/>
    <w:rsid w:val="001714E1"/>
    <w:rsid w:val="001719CA"/>
    <w:rsid w:val="00172CBA"/>
    <w:rsid w:val="0017351A"/>
    <w:rsid w:val="00173B81"/>
    <w:rsid w:val="00173D4C"/>
    <w:rsid w:val="0017495E"/>
    <w:rsid w:val="00175422"/>
    <w:rsid w:val="00175CF4"/>
    <w:rsid w:val="0017650B"/>
    <w:rsid w:val="00177922"/>
    <w:rsid w:val="0018139B"/>
    <w:rsid w:val="00181517"/>
    <w:rsid w:val="00181867"/>
    <w:rsid w:val="0018223F"/>
    <w:rsid w:val="00183C50"/>
    <w:rsid w:val="00183EDD"/>
    <w:rsid w:val="0018532D"/>
    <w:rsid w:val="001857AA"/>
    <w:rsid w:val="0018634E"/>
    <w:rsid w:val="001877B6"/>
    <w:rsid w:val="00190811"/>
    <w:rsid w:val="001924C2"/>
    <w:rsid w:val="00193B76"/>
    <w:rsid w:val="00193EA3"/>
    <w:rsid w:val="0019406D"/>
    <w:rsid w:val="0019476E"/>
    <w:rsid w:val="00194FCC"/>
    <w:rsid w:val="001951B5"/>
    <w:rsid w:val="00195F49"/>
    <w:rsid w:val="001A0120"/>
    <w:rsid w:val="001A32B7"/>
    <w:rsid w:val="001A3C46"/>
    <w:rsid w:val="001A3CC2"/>
    <w:rsid w:val="001A40CB"/>
    <w:rsid w:val="001A4924"/>
    <w:rsid w:val="001A63AC"/>
    <w:rsid w:val="001A6E63"/>
    <w:rsid w:val="001A74E8"/>
    <w:rsid w:val="001B1337"/>
    <w:rsid w:val="001B1E28"/>
    <w:rsid w:val="001B2944"/>
    <w:rsid w:val="001B2BC2"/>
    <w:rsid w:val="001B643A"/>
    <w:rsid w:val="001B681E"/>
    <w:rsid w:val="001B6A78"/>
    <w:rsid w:val="001B7AF8"/>
    <w:rsid w:val="001B7C45"/>
    <w:rsid w:val="001C17D2"/>
    <w:rsid w:val="001C235F"/>
    <w:rsid w:val="001C2678"/>
    <w:rsid w:val="001C36E9"/>
    <w:rsid w:val="001C3E3F"/>
    <w:rsid w:val="001C461D"/>
    <w:rsid w:val="001C4628"/>
    <w:rsid w:val="001C4883"/>
    <w:rsid w:val="001C4A52"/>
    <w:rsid w:val="001C653D"/>
    <w:rsid w:val="001C76DC"/>
    <w:rsid w:val="001C7E98"/>
    <w:rsid w:val="001C7F72"/>
    <w:rsid w:val="001D1173"/>
    <w:rsid w:val="001D199C"/>
    <w:rsid w:val="001D2389"/>
    <w:rsid w:val="001D6384"/>
    <w:rsid w:val="001E10F3"/>
    <w:rsid w:val="001E1162"/>
    <w:rsid w:val="001E1902"/>
    <w:rsid w:val="001E4094"/>
    <w:rsid w:val="001E4E18"/>
    <w:rsid w:val="001E5431"/>
    <w:rsid w:val="001E58D9"/>
    <w:rsid w:val="001E5EB9"/>
    <w:rsid w:val="001E6786"/>
    <w:rsid w:val="001E7A0D"/>
    <w:rsid w:val="001E7F9B"/>
    <w:rsid w:val="001F031B"/>
    <w:rsid w:val="001F0423"/>
    <w:rsid w:val="001F0625"/>
    <w:rsid w:val="001F0AE0"/>
    <w:rsid w:val="001F1F66"/>
    <w:rsid w:val="001F2684"/>
    <w:rsid w:val="001F4371"/>
    <w:rsid w:val="001F47F0"/>
    <w:rsid w:val="001F5645"/>
    <w:rsid w:val="001F5B72"/>
    <w:rsid w:val="001F6A5D"/>
    <w:rsid w:val="0020085D"/>
    <w:rsid w:val="00204305"/>
    <w:rsid w:val="00204840"/>
    <w:rsid w:val="00204EAE"/>
    <w:rsid w:val="00206E31"/>
    <w:rsid w:val="00210152"/>
    <w:rsid w:val="00212252"/>
    <w:rsid w:val="00213248"/>
    <w:rsid w:val="00215AA4"/>
    <w:rsid w:val="00216447"/>
    <w:rsid w:val="00217D2D"/>
    <w:rsid w:val="00220353"/>
    <w:rsid w:val="0022429A"/>
    <w:rsid w:val="0022455B"/>
    <w:rsid w:val="0022493D"/>
    <w:rsid w:val="0022501D"/>
    <w:rsid w:val="00225113"/>
    <w:rsid w:val="00225B78"/>
    <w:rsid w:val="0022659B"/>
    <w:rsid w:val="00227978"/>
    <w:rsid w:val="00231423"/>
    <w:rsid w:val="002316A2"/>
    <w:rsid w:val="002326BA"/>
    <w:rsid w:val="00233502"/>
    <w:rsid w:val="00234ED9"/>
    <w:rsid w:val="00235923"/>
    <w:rsid w:val="00235B3A"/>
    <w:rsid w:val="00240AF9"/>
    <w:rsid w:val="00241E90"/>
    <w:rsid w:val="0024239F"/>
    <w:rsid w:val="00242C1A"/>
    <w:rsid w:val="00244183"/>
    <w:rsid w:val="002445DC"/>
    <w:rsid w:val="0024608E"/>
    <w:rsid w:val="002466E7"/>
    <w:rsid w:val="002467A3"/>
    <w:rsid w:val="00247EE9"/>
    <w:rsid w:val="002502A3"/>
    <w:rsid w:val="0025123D"/>
    <w:rsid w:val="00251989"/>
    <w:rsid w:val="00251990"/>
    <w:rsid w:val="00251F74"/>
    <w:rsid w:val="0025212D"/>
    <w:rsid w:val="00253677"/>
    <w:rsid w:val="0025399D"/>
    <w:rsid w:val="002540A5"/>
    <w:rsid w:val="002548EB"/>
    <w:rsid w:val="002556F6"/>
    <w:rsid w:val="00256046"/>
    <w:rsid w:val="00256909"/>
    <w:rsid w:val="00260566"/>
    <w:rsid w:val="00261497"/>
    <w:rsid w:val="00262333"/>
    <w:rsid w:val="00263631"/>
    <w:rsid w:val="002637FB"/>
    <w:rsid w:val="00266AD6"/>
    <w:rsid w:val="00266F3B"/>
    <w:rsid w:val="00267691"/>
    <w:rsid w:val="00267974"/>
    <w:rsid w:val="00270701"/>
    <w:rsid w:val="00270A53"/>
    <w:rsid w:val="00270CA6"/>
    <w:rsid w:val="002716F2"/>
    <w:rsid w:val="00272545"/>
    <w:rsid w:val="00273A32"/>
    <w:rsid w:val="00274190"/>
    <w:rsid w:val="00274686"/>
    <w:rsid w:val="002766D4"/>
    <w:rsid w:val="00276CD1"/>
    <w:rsid w:val="00280943"/>
    <w:rsid w:val="00285BC1"/>
    <w:rsid w:val="00285C51"/>
    <w:rsid w:val="00286714"/>
    <w:rsid w:val="00286C77"/>
    <w:rsid w:val="00287D08"/>
    <w:rsid w:val="00290125"/>
    <w:rsid w:val="00290B3B"/>
    <w:rsid w:val="00291915"/>
    <w:rsid w:val="00291ED4"/>
    <w:rsid w:val="0029286F"/>
    <w:rsid w:val="00292C22"/>
    <w:rsid w:val="002938D6"/>
    <w:rsid w:val="00296162"/>
    <w:rsid w:val="002A02BD"/>
    <w:rsid w:val="002A04E2"/>
    <w:rsid w:val="002A0539"/>
    <w:rsid w:val="002A110F"/>
    <w:rsid w:val="002A1BD9"/>
    <w:rsid w:val="002A1ECC"/>
    <w:rsid w:val="002A3B94"/>
    <w:rsid w:val="002A3CE6"/>
    <w:rsid w:val="002A5084"/>
    <w:rsid w:val="002A50EA"/>
    <w:rsid w:val="002A54DB"/>
    <w:rsid w:val="002A5FCA"/>
    <w:rsid w:val="002A69C4"/>
    <w:rsid w:val="002B0A8C"/>
    <w:rsid w:val="002B375C"/>
    <w:rsid w:val="002B45E8"/>
    <w:rsid w:val="002B4EED"/>
    <w:rsid w:val="002B651F"/>
    <w:rsid w:val="002B66B7"/>
    <w:rsid w:val="002B6EF4"/>
    <w:rsid w:val="002C0F15"/>
    <w:rsid w:val="002C1029"/>
    <w:rsid w:val="002C364A"/>
    <w:rsid w:val="002C50AA"/>
    <w:rsid w:val="002C644A"/>
    <w:rsid w:val="002C6E29"/>
    <w:rsid w:val="002C712F"/>
    <w:rsid w:val="002C78BE"/>
    <w:rsid w:val="002D1166"/>
    <w:rsid w:val="002D18C8"/>
    <w:rsid w:val="002D1950"/>
    <w:rsid w:val="002D1B24"/>
    <w:rsid w:val="002D25B7"/>
    <w:rsid w:val="002D2760"/>
    <w:rsid w:val="002D340A"/>
    <w:rsid w:val="002D6D0A"/>
    <w:rsid w:val="002D7009"/>
    <w:rsid w:val="002E191B"/>
    <w:rsid w:val="002E5894"/>
    <w:rsid w:val="002E5D58"/>
    <w:rsid w:val="002E607C"/>
    <w:rsid w:val="002E60AE"/>
    <w:rsid w:val="002E6441"/>
    <w:rsid w:val="002E71B8"/>
    <w:rsid w:val="002E73C2"/>
    <w:rsid w:val="002F0A09"/>
    <w:rsid w:val="002F0CC4"/>
    <w:rsid w:val="002F218E"/>
    <w:rsid w:val="002F6929"/>
    <w:rsid w:val="002F6C7E"/>
    <w:rsid w:val="002F7172"/>
    <w:rsid w:val="003008DE"/>
    <w:rsid w:val="00300E78"/>
    <w:rsid w:val="00301124"/>
    <w:rsid w:val="00301885"/>
    <w:rsid w:val="00301F12"/>
    <w:rsid w:val="0030363C"/>
    <w:rsid w:val="00303A6F"/>
    <w:rsid w:val="0030453C"/>
    <w:rsid w:val="00304FC8"/>
    <w:rsid w:val="00306329"/>
    <w:rsid w:val="00306921"/>
    <w:rsid w:val="003078F8"/>
    <w:rsid w:val="00307A11"/>
    <w:rsid w:val="0031128D"/>
    <w:rsid w:val="00311E25"/>
    <w:rsid w:val="003120B3"/>
    <w:rsid w:val="00313509"/>
    <w:rsid w:val="00313AE1"/>
    <w:rsid w:val="00314A9B"/>
    <w:rsid w:val="0031686B"/>
    <w:rsid w:val="00316ACA"/>
    <w:rsid w:val="003173F8"/>
    <w:rsid w:val="0032029B"/>
    <w:rsid w:val="003214B2"/>
    <w:rsid w:val="00321AEB"/>
    <w:rsid w:val="00322230"/>
    <w:rsid w:val="00322F3D"/>
    <w:rsid w:val="00323148"/>
    <w:rsid w:val="00324291"/>
    <w:rsid w:val="003249C4"/>
    <w:rsid w:val="0032509F"/>
    <w:rsid w:val="00326DB0"/>
    <w:rsid w:val="00330BD9"/>
    <w:rsid w:val="003321BD"/>
    <w:rsid w:val="00333016"/>
    <w:rsid w:val="00334A00"/>
    <w:rsid w:val="00334B6A"/>
    <w:rsid w:val="003352E1"/>
    <w:rsid w:val="003367C3"/>
    <w:rsid w:val="00336A86"/>
    <w:rsid w:val="0033715D"/>
    <w:rsid w:val="00337395"/>
    <w:rsid w:val="00337AA8"/>
    <w:rsid w:val="00337B9E"/>
    <w:rsid w:val="00341715"/>
    <w:rsid w:val="003429BC"/>
    <w:rsid w:val="00342F85"/>
    <w:rsid w:val="00343171"/>
    <w:rsid w:val="003433BF"/>
    <w:rsid w:val="00343770"/>
    <w:rsid w:val="003440EA"/>
    <w:rsid w:val="003451AE"/>
    <w:rsid w:val="00345657"/>
    <w:rsid w:val="003469FF"/>
    <w:rsid w:val="00347384"/>
    <w:rsid w:val="0035063B"/>
    <w:rsid w:val="00350786"/>
    <w:rsid w:val="00350BDC"/>
    <w:rsid w:val="003516C6"/>
    <w:rsid w:val="00351D4F"/>
    <w:rsid w:val="003524E2"/>
    <w:rsid w:val="003528A2"/>
    <w:rsid w:val="00354BBA"/>
    <w:rsid w:val="0035512E"/>
    <w:rsid w:val="0035553D"/>
    <w:rsid w:val="003563AE"/>
    <w:rsid w:val="00356939"/>
    <w:rsid w:val="00356F45"/>
    <w:rsid w:val="003577A2"/>
    <w:rsid w:val="00360209"/>
    <w:rsid w:val="0036235F"/>
    <w:rsid w:val="003625F9"/>
    <w:rsid w:val="00365575"/>
    <w:rsid w:val="00365E7A"/>
    <w:rsid w:val="003726E9"/>
    <w:rsid w:val="00373BC7"/>
    <w:rsid w:val="00373ED9"/>
    <w:rsid w:val="00373FEC"/>
    <w:rsid w:val="00377EC8"/>
    <w:rsid w:val="00380072"/>
    <w:rsid w:val="0038044A"/>
    <w:rsid w:val="00381A99"/>
    <w:rsid w:val="0038289F"/>
    <w:rsid w:val="00383B49"/>
    <w:rsid w:val="00384710"/>
    <w:rsid w:val="003861D6"/>
    <w:rsid w:val="0038730A"/>
    <w:rsid w:val="00387D13"/>
    <w:rsid w:val="00390C32"/>
    <w:rsid w:val="00392947"/>
    <w:rsid w:val="003934AE"/>
    <w:rsid w:val="003942F2"/>
    <w:rsid w:val="00394BA7"/>
    <w:rsid w:val="00395162"/>
    <w:rsid w:val="00396349"/>
    <w:rsid w:val="00396F0E"/>
    <w:rsid w:val="00397A77"/>
    <w:rsid w:val="003A0636"/>
    <w:rsid w:val="003A4AB2"/>
    <w:rsid w:val="003A4AFA"/>
    <w:rsid w:val="003A5596"/>
    <w:rsid w:val="003B1320"/>
    <w:rsid w:val="003B13EF"/>
    <w:rsid w:val="003B1D36"/>
    <w:rsid w:val="003B221E"/>
    <w:rsid w:val="003B2766"/>
    <w:rsid w:val="003B2C26"/>
    <w:rsid w:val="003B3146"/>
    <w:rsid w:val="003B347C"/>
    <w:rsid w:val="003B4CBE"/>
    <w:rsid w:val="003B5442"/>
    <w:rsid w:val="003B6879"/>
    <w:rsid w:val="003B709A"/>
    <w:rsid w:val="003C020A"/>
    <w:rsid w:val="003C058B"/>
    <w:rsid w:val="003C27E8"/>
    <w:rsid w:val="003C3131"/>
    <w:rsid w:val="003C41A0"/>
    <w:rsid w:val="003C48BE"/>
    <w:rsid w:val="003C5B54"/>
    <w:rsid w:val="003C5C83"/>
    <w:rsid w:val="003C678D"/>
    <w:rsid w:val="003C76D1"/>
    <w:rsid w:val="003C79AF"/>
    <w:rsid w:val="003D154F"/>
    <w:rsid w:val="003D27D8"/>
    <w:rsid w:val="003D2A0F"/>
    <w:rsid w:val="003D3A11"/>
    <w:rsid w:val="003D3E41"/>
    <w:rsid w:val="003D4327"/>
    <w:rsid w:val="003D4404"/>
    <w:rsid w:val="003D4A86"/>
    <w:rsid w:val="003D6220"/>
    <w:rsid w:val="003D6514"/>
    <w:rsid w:val="003D6737"/>
    <w:rsid w:val="003D7AF6"/>
    <w:rsid w:val="003E19F1"/>
    <w:rsid w:val="003E218A"/>
    <w:rsid w:val="003E334B"/>
    <w:rsid w:val="003E378F"/>
    <w:rsid w:val="003E3EF3"/>
    <w:rsid w:val="003E5F6A"/>
    <w:rsid w:val="003E7895"/>
    <w:rsid w:val="003F0112"/>
    <w:rsid w:val="003F0B29"/>
    <w:rsid w:val="003F0F7D"/>
    <w:rsid w:val="003F112C"/>
    <w:rsid w:val="003F13D5"/>
    <w:rsid w:val="003F269D"/>
    <w:rsid w:val="003F26DB"/>
    <w:rsid w:val="003F40C8"/>
    <w:rsid w:val="003F6E26"/>
    <w:rsid w:val="003F758D"/>
    <w:rsid w:val="003F7899"/>
    <w:rsid w:val="003F7C59"/>
    <w:rsid w:val="003F7F61"/>
    <w:rsid w:val="0040228C"/>
    <w:rsid w:val="00402747"/>
    <w:rsid w:val="00402D98"/>
    <w:rsid w:val="004031EE"/>
    <w:rsid w:val="004074BF"/>
    <w:rsid w:val="00410F8C"/>
    <w:rsid w:val="0041153B"/>
    <w:rsid w:val="00411E36"/>
    <w:rsid w:val="004139D6"/>
    <w:rsid w:val="00413F7E"/>
    <w:rsid w:val="00414669"/>
    <w:rsid w:val="00414898"/>
    <w:rsid w:val="004152A2"/>
    <w:rsid w:val="00416334"/>
    <w:rsid w:val="0041747D"/>
    <w:rsid w:val="00420646"/>
    <w:rsid w:val="00420E73"/>
    <w:rsid w:val="00422492"/>
    <w:rsid w:val="00422ACA"/>
    <w:rsid w:val="004230FA"/>
    <w:rsid w:val="00423C40"/>
    <w:rsid w:val="00425C96"/>
    <w:rsid w:val="00430F91"/>
    <w:rsid w:val="00431F0A"/>
    <w:rsid w:val="00432738"/>
    <w:rsid w:val="00433C8F"/>
    <w:rsid w:val="00434B64"/>
    <w:rsid w:val="004360E3"/>
    <w:rsid w:val="00436F45"/>
    <w:rsid w:val="00437D6C"/>
    <w:rsid w:val="004402D6"/>
    <w:rsid w:val="004418A8"/>
    <w:rsid w:val="00442664"/>
    <w:rsid w:val="00442AAF"/>
    <w:rsid w:val="00443BD6"/>
    <w:rsid w:val="0044450B"/>
    <w:rsid w:val="00447C02"/>
    <w:rsid w:val="00455AC2"/>
    <w:rsid w:val="00460053"/>
    <w:rsid w:val="0046030D"/>
    <w:rsid w:val="004608B0"/>
    <w:rsid w:val="00460A55"/>
    <w:rsid w:val="00460E2F"/>
    <w:rsid w:val="0046129C"/>
    <w:rsid w:val="00461DE4"/>
    <w:rsid w:val="00462B97"/>
    <w:rsid w:val="004635FC"/>
    <w:rsid w:val="004667DA"/>
    <w:rsid w:val="00467382"/>
    <w:rsid w:val="00470705"/>
    <w:rsid w:val="00472BB1"/>
    <w:rsid w:val="00473B92"/>
    <w:rsid w:val="00473C99"/>
    <w:rsid w:val="0047476A"/>
    <w:rsid w:val="004749AD"/>
    <w:rsid w:val="00474AD9"/>
    <w:rsid w:val="0047735C"/>
    <w:rsid w:val="00477B0A"/>
    <w:rsid w:val="00480B07"/>
    <w:rsid w:val="00481C4C"/>
    <w:rsid w:val="00482122"/>
    <w:rsid w:val="0048353D"/>
    <w:rsid w:val="00483AC1"/>
    <w:rsid w:val="00483DA9"/>
    <w:rsid w:val="00484496"/>
    <w:rsid w:val="00484A74"/>
    <w:rsid w:val="00486D09"/>
    <w:rsid w:val="00490C7D"/>
    <w:rsid w:val="0049116E"/>
    <w:rsid w:val="00492242"/>
    <w:rsid w:val="004922B2"/>
    <w:rsid w:val="004931E8"/>
    <w:rsid w:val="00493688"/>
    <w:rsid w:val="00495628"/>
    <w:rsid w:val="00497F1B"/>
    <w:rsid w:val="004A0955"/>
    <w:rsid w:val="004A2EA7"/>
    <w:rsid w:val="004A3C9E"/>
    <w:rsid w:val="004A486D"/>
    <w:rsid w:val="004A5F44"/>
    <w:rsid w:val="004B03EA"/>
    <w:rsid w:val="004B2DB5"/>
    <w:rsid w:val="004B4288"/>
    <w:rsid w:val="004B4CE0"/>
    <w:rsid w:val="004B7872"/>
    <w:rsid w:val="004C078C"/>
    <w:rsid w:val="004C10C8"/>
    <w:rsid w:val="004C16A6"/>
    <w:rsid w:val="004C1903"/>
    <w:rsid w:val="004C19B2"/>
    <w:rsid w:val="004C2C4A"/>
    <w:rsid w:val="004C2DB8"/>
    <w:rsid w:val="004C37C2"/>
    <w:rsid w:val="004C39E5"/>
    <w:rsid w:val="004C4093"/>
    <w:rsid w:val="004C46D2"/>
    <w:rsid w:val="004C628C"/>
    <w:rsid w:val="004D05FC"/>
    <w:rsid w:val="004D0A37"/>
    <w:rsid w:val="004D0F3E"/>
    <w:rsid w:val="004D114C"/>
    <w:rsid w:val="004D1218"/>
    <w:rsid w:val="004D1E05"/>
    <w:rsid w:val="004D2392"/>
    <w:rsid w:val="004D26E7"/>
    <w:rsid w:val="004D3512"/>
    <w:rsid w:val="004D3CCE"/>
    <w:rsid w:val="004D3E91"/>
    <w:rsid w:val="004D57E2"/>
    <w:rsid w:val="004D63DA"/>
    <w:rsid w:val="004D6B7B"/>
    <w:rsid w:val="004D7B7F"/>
    <w:rsid w:val="004E07FB"/>
    <w:rsid w:val="004E0863"/>
    <w:rsid w:val="004E0F0B"/>
    <w:rsid w:val="004E1B89"/>
    <w:rsid w:val="004E1EC6"/>
    <w:rsid w:val="004E207D"/>
    <w:rsid w:val="004E3E38"/>
    <w:rsid w:val="004E452C"/>
    <w:rsid w:val="004E5F53"/>
    <w:rsid w:val="004E69F4"/>
    <w:rsid w:val="004E6C53"/>
    <w:rsid w:val="004F24C7"/>
    <w:rsid w:val="004F2D32"/>
    <w:rsid w:val="004F34F7"/>
    <w:rsid w:val="004F3DFC"/>
    <w:rsid w:val="004F4498"/>
    <w:rsid w:val="004F4A42"/>
    <w:rsid w:val="004F5185"/>
    <w:rsid w:val="004F5A56"/>
    <w:rsid w:val="004F61BD"/>
    <w:rsid w:val="004F620A"/>
    <w:rsid w:val="004F70F7"/>
    <w:rsid w:val="004F7918"/>
    <w:rsid w:val="0050242B"/>
    <w:rsid w:val="00503366"/>
    <w:rsid w:val="005036F3"/>
    <w:rsid w:val="00506A35"/>
    <w:rsid w:val="00507146"/>
    <w:rsid w:val="00510580"/>
    <w:rsid w:val="00510E69"/>
    <w:rsid w:val="00511094"/>
    <w:rsid w:val="00511539"/>
    <w:rsid w:val="00513C6E"/>
    <w:rsid w:val="00513FF6"/>
    <w:rsid w:val="00514371"/>
    <w:rsid w:val="00514740"/>
    <w:rsid w:val="00515176"/>
    <w:rsid w:val="00516D74"/>
    <w:rsid w:val="00517B8A"/>
    <w:rsid w:val="00517F42"/>
    <w:rsid w:val="00520853"/>
    <w:rsid w:val="00520FC4"/>
    <w:rsid w:val="005212CA"/>
    <w:rsid w:val="005214CE"/>
    <w:rsid w:val="00522D89"/>
    <w:rsid w:val="005231B8"/>
    <w:rsid w:val="00523B91"/>
    <w:rsid w:val="00526056"/>
    <w:rsid w:val="005300B4"/>
    <w:rsid w:val="00530C5D"/>
    <w:rsid w:val="005315A8"/>
    <w:rsid w:val="005316DD"/>
    <w:rsid w:val="00531E15"/>
    <w:rsid w:val="005338F4"/>
    <w:rsid w:val="005339FE"/>
    <w:rsid w:val="0053436B"/>
    <w:rsid w:val="00534DF1"/>
    <w:rsid w:val="00535CD4"/>
    <w:rsid w:val="005411E3"/>
    <w:rsid w:val="005416AF"/>
    <w:rsid w:val="00541A0F"/>
    <w:rsid w:val="005422C0"/>
    <w:rsid w:val="00543076"/>
    <w:rsid w:val="0054429F"/>
    <w:rsid w:val="00547848"/>
    <w:rsid w:val="0055051C"/>
    <w:rsid w:val="00550CF2"/>
    <w:rsid w:val="005510DE"/>
    <w:rsid w:val="0055429D"/>
    <w:rsid w:val="00556A69"/>
    <w:rsid w:val="00557752"/>
    <w:rsid w:val="00560EA4"/>
    <w:rsid w:val="00563AFF"/>
    <w:rsid w:val="00563CCF"/>
    <w:rsid w:val="005646AC"/>
    <w:rsid w:val="00564D5A"/>
    <w:rsid w:val="00567E96"/>
    <w:rsid w:val="00570EBF"/>
    <w:rsid w:val="00570FDB"/>
    <w:rsid w:val="00571828"/>
    <w:rsid w:val="00573691"/>
    <w:rsid w:val="005739CE"/>
    <w:rsid w:val="00575C85"/>
    <w:rsid w:val="00577781"/>
    <w:rsid w:val="005808B8"/>
    <w:rsid w:val="00583235"/>
    <w:rsid w:val="00583824"/>
    <w:rsid w:val="00583A1D"/>
    <w:rsid w:val="0058461C"/>
    <w:rsid w:val="005851CA"/>
    <w:rsid w:val="005861A5"/>
    <w:rsid w:val="005862C1"/>
    <w:rsid w:val="00586634"/>
    <w:rsid w:val="00587CEE"/>
    <w:rsid w:val="00591196"/>
    <w:rsid w:val="005924DC"/>
    <w:rsid w:val="005932C4"/>
    <w:rsid w:val="00593F6A"/>
    <w:rsid w:val="00595D88"/>
    <w:rsid w:val="00596699"/>
    <w:rsid w:val="00596761"/>
    <w:rsid w:val="00596D11"/>
    <w:rsid w:val="005972D7"/>
    <w:rsid w:val="005A0567"/>
    <w:rsid w:val="005A17BF"/>
    <w:rsid w:val="005A1B38"/>
    <w:rsid w:val="005A3090"/>
    <w:rsid w:val="005A3C52"/>
    <w:rsid w:val="005A3FAB"/>
    <w:rsid w:val="005A4E9A"/>
    <w:rsid w:val="005A5AF7"/>
    <w:rsid w:val="005A5D33"/>
    <w:rsid w:val="005B05C2"/>
    <w:rsid w:val="005B11D4"/>
    <w:rsid w:val="005B16A2"/>
    <w:rsid w:val="005B16A6"/>
    <w:rsid w:val="005B1DF5"/>
    <w:rsid w:val="005B22AF"/>
    <w:rsid w:val="005B2FF0"/>
    <w:rsid w:val="005B366C"/>
    <w:rsid w:val="005B6CC3"/>
    <w:rsid w:val="005B7F7C"/>
    <w:rsid w:val="005C05CB"/>
    <w:rsid w:val="005C07F3"/>
    <w:rsid w:val="005C160D"/>
    <w:rsid w:val="005C22CB"/>
    <w:rsid w:val="005C2A49"/>
    <w:rsid w:val="005C3109"/>
    <w:rsid w:val="005C3425"/>
    <w:rsid w:val="005C37CA"/>
    <w:rsid w:val="005C422C"/>
    <w:rsid w:val="005C6332"/>
    <w:rsid w:val="005C68E9"/>
    <w:rsid w:val="005C71F0"/>
    <w:rsid w:val="005C72FB"/>
    <w:rsid w:val="005C7A79"/>
    <w:rsid w:val="005C7C0E"/>
    <w:rsid w:val="005C7F63"/>
    <w:rsid w:val="005D04AC"/>
    <w:rsid w:val="005D1AD9"/>
    <w:rsid w:val="005D2213"/>
    <w:rsid w:val="005D2447"/>
    <w:rsid w:val="005D37E9"/>
    <w:rsid w:val="005D507A"/>
    <w:rsid w:val="005D5626"/>
    <w:rsid w:val="005D587C"/>
    <w:rsid w:val="005D6055"/>
    <w:rsid w:val="005D659B"/>
    <w:rsid w:val="005D65B4"/>
    <w:rsid w:val="005D76DB"/>
    <w:rsid w:val="005E0BA2"/>
    <w:rsid w:val="005E12FE"/>
    <w:rsid w:val="005E1D91"/>
    <w:rsid w:val="005E208D"/>
    <w:rsid w:val="005E2C68"/>
    <w:rsid w:val="005E2EA1"/>
    <w:rsid w:val="005E3517"/>
    <w:rsid w:val="005E3AEF"/>
    <w:rsid w:val="005E4088"/>
    <w:rsid w:val="005E503A"/>
    <w:rsid w:val="005E5788"/>
    <w:rsid w:val="005E64F5"/>
    <w:rsid w:val="005E785B"/>
    <w:rsid w:val="005E78D2"/>
    <w:rsid w:val="005F069C"/>
    <w:rsid w:val="005F1585"/>
    <w:rsid w:val="005F288C"/>
    <w:rsid w:val="005F2F72"/>
    <w:rsid w:val="005F3C09"/>
    <w:rsid w:val="005F4CE4"/>
    <w:rsid w:val="005F765F"/>
    <w:rsid w:val="00600578"/>
    <w:rsid w:val="00600A3F"/>
    <w:rsid w:val="00600BEA"/>
    <w:rsid w:val="0060127E"/>
    <w:rsid w:val="00601816"/>
    <w:rsid w:val="00602230"/>
    <w:rsid w:val="00603884"/>
    <w:rsid w:val="00605444"/>
    <w:rsid w:val="006072C7"/>
    <w:rsid w:val="00610597"/>
    <w:rsid w:val="0061113A"/>
    <w:rsid w:val="006126A2"/>
    <w:rsid w:val="00612E9C"/>
    <w:rsid w:val="0061358D"/>
    <w:rsid w:val="00613C9F"/>
    <w:rsid w:val="00613FCB"/>
    <w:rsid w:val="00616E43"/>
    <w:rsid w:val="00621AE2"/>
    <w:rsid w:val="006222AD"/>
    <w:rsid w:val="006231D0"/>
    <w:rsid w:val="0062377B"/>
    <w:rsid w:val="006237B0"/>
    <w:rsid w:val="00624FBD"/>
    <w:rsid w:val="00625714"/>
    <w:rsid w:val="006257DF"/>
    <w:rsid w:val="006266CB"/>
    <w:rsid w:val="00626C74"/>
    <w:rsid w:val="00626DC3"/>
    <w:rsid w:val="00627E30"/>
    <w:rsid w:val="00631BA0"/>
    <w:rsid w:val="006320E4"/>
    <w:rsid w:val="00632275"/>
    <w:rsid w:val="006335C5"/>
    <w:rsid w:val="00642E87"/>
    <w:rsid w:val="00642F29"/>
    <w:rsid w:val="00643114"/>
    <w:rsid w:val="00644065"/>
    <w:rsid w:val="006455DC"/>
    <w:rsid w:val="006466D4"/>
    <w:rsid w:val="0064686A"/>
    <w:rsid w:val="006479A1"/>
    <w:rsid w:val="00651044"/>
    <w:rsid w:val="006528C8"/>
    <w:rsid w:val="00653864"/>
    <w:rsid w:val="00653EB8"/>
    <w:rsid w:val="006545FC"/>
    <w:rsid w:val="00654AEF"/>
    <w:rsid w:val="0065563D"/>
    <w:rsid w:val="00655D2F"/>
    <w:rsid w:val="00655D85"/>
    <w:rsid w:val="00656A3A"/>
    <w:rsid w:val="00656E80"/>
    <w:rsid w:val="006602EF"/>
    <w:rsid w:val="00660F2C"/>
    <w:rsid w:val="006612A9"/>
    <w:rsid w:val="00661F2A"/>
    <w:rsid w:val="00663731"/>
    <w:rsid w:val="00665A99"/>
    <w:rsid w:val="006666D7"/>
    <w:rsid w:val="00666B93"/>
    <w:rsid w:val="00666CB8"/>
    <w:rsid w:val="0067229B"/>
    <w:rsid w:val="00673B93"/>
    <w:rsid w:val="0067475E"/>
    <w:rsid w:val="006747D0"/>
    <w:rsid w:val="00674EE2"/>
    <w:rsid w:val="006754C6"/>
    <w:rsid w:val="00676239"/>
    <w:rsid w:val="00676418"/>
    <w:rsid w:val="00676595"/>
    <w:rsid w:val="00676EFF"/>
    <w:rsid w:val="006825C8"/>
    <w:rsid w:val="006836D7"/>
    <w:rsid w:val="0068547B"/>
    <w:rsid w:val="0068566A"/>
    <w:rsid w:val="006867DD"/>
    <w:rsid w:val="006871D9"/>
    <w:rsid w:val="00687213"/>
    <w:rsid w:val="00687882"/>
    <w:rsid w:val="0068788D"/>
    <w:rsid w:val="00687F3A"/>
    <w:rsid w:val="0069001D"/>
    <w:rsid w:val="006902C0"/>
    <w:rsid w:val="00691977"/>
    <w:rsid w:val="0069246D"/>
    <w:rsid w:val="0069261A"/>
    <w:rsid w:val="006931BC"/>
    <w:rsid w:val="00694FAF"/>
    <w:rsid w:val="00695724"/>
    <w:rsid w:val="006966DA"/>
    <w:rsid w:val="00696D55"/>
    <w:rsid w:val="0069711A"/>
    <w:rsid w:val="0069730F"/>
    <w:rsid w:val="006A10BE"/>
    <w:rsid w:val="006A13FB"/>
    <w:rsid w:val="006A169B"/>
    <w:rsid w:val="006A22DF"/>
    <w:rsid w:val="006A251D"/>
    <w:rsid w:val="006A287D"/>
    <w:rsid w:val="006A39E6"/>
    <w:rsid w:val="006A3CE1"/>
    <w:rsid w:val="006A495C"/>
    <w:rsid w:val="006A7FF2"/>
    <w:rsid w:val="006B19C8"/>
    <w:rsid w:val="006B26AC"/>
    <w:rsid w:val="006B2C99"/>
    <w:rsid w:val="006B44E6"/>
    <w:rsid w:val="006B5D4D"/>
    <w:rsid w:val="006B6B55"/>
    <w:rsid w:val="006B7E7B"/>
    <w:rsid w:val="006C03C3"/>
    <w:rsid w:val="006C21D9"/>
    <w:rsid w:val="006C29EE"/>
    <w:rsid w:val="006C4317"/>
    <w:rsid w:val="006C55FE"/>
    <w:rsid w:val="006C6CE9"/>
    <w:rsid w:val="006C6E9E"/>
    <w:rsid w:val="006D0664"/>
    <w:rsid w:val="006D1D13"/>
    <w:rsid w:val="006D2FA1"/>
    <w:rsid w:val="006D3285"/>
    <w:rsid w:val="006D3B3D"/>
    <w:rsid w:val="006D51E4"/>
    <w:rsid w:val="006D5D43"/>
    <w:rsid w:val="006D6019"/>
    <w:rsid w:val="006D6DE3"/>
    <w:rsid w:val="006D6F6F"/>
    <w:rsid w:val="006E0640"/>
    <w:rsid w:val="006E11D5"/>
    <w:rsid w:val="006E185D"/>
    <w:rsid w:val="006E1FE3"/>
    <w:rsid w:val="006E3DDD"/>
    <w:rsid w:val="006E432D"/>
    <w:rsid w:val="006E5D2C"/>
    <w:rsid w:val="006E5EE2"/>
    <w:rsid w:val="006E6115"/>
    <w:rsid w:val="006E63C6"/>
    <w:rsid w:val="006E68D6"/>
    <w:rsid w:val="006E7812"/>
    <w:rsid w:val="006E7F71"/>
    <w:rsid w:val="006F165F"/>
    <w:rsid w:val="006F1816"/>
    <w:rsid w:val="006F19FC"/>
    <w:rsid w:val="006F283F"/>
    <w:rsid w:val="006F2AB6"/>
    <w:rsid w:val="006F4686"/>
    <w:rsid w:val="006F5D88"/>
    <w:rsid w:val="006F6090"/>
    <w:rsid w:val="006F609E"/>
    <w:rsid w:val="006F60E9"/>
    <w:rsid w:val="006F76E9"/>
    <w:rsid w:val="006F7DA3"/>
    <w:rsid w:val="00700C93"/>
    <w:rsid w:val="00700F3A"/>
    <w:rsid w:val="007036B9"/>
    <w:rsid w:val="007040EC"/>
    <w:rsid w:val="007042BC"/>
    <w:rsid w:val="007047E6"/>
    <w:rsid w:val="00704841"/>
    <w:rsid w:val="00704FB0"/>
    <w:rsid w:val="00706BB1"/>
    <w:rsid w:val="00707C31"/>
    <w:rsid w:val="00707E3A"/>
    <w:rsid w:val="0071157C"/>
    <w:rsid w:val="00711A2E"/>
    <w:rsid w:val="00711CD7"/>
    <w:rsid w:val="00711DD5"/>
    <w:rsid w:val="007126D5"/>
    <w:rsid w:val="007128A3"/>
    <w:rsid w:val="0071334D"/>
    <w:rsid w:val="0071479D"/>
    <w:rsid w:val="00715252"/>
    <w:rsid w:val="00716533"/>
    <w:rsid w:val="007176D8"/>
    <w:rsid w:val="007176ED"/>
    <w:rsid w:val="0072188C"/>
    <w:rsid w:val="00722559"/>
    <w:rsid w:val="007249F9"/>
    <w:rsid w:val="00725636"/>
    <w:rsid w:val="00725DEA"/>
    <w:rsid w:val="00727167"/>
    <w:rsid w:val="00730C32"/>
    <w:rsid w:val="00733EF9"/>
    <w:rsid w:val="00734E4D"/>
    <w:rsid w:val="00735DEB"/>
    <w:rsid w:val="00736274"/>
    <w:rsid w:val="007406D0"/>
    <w:rsid w:val="00740754"/>
    <w:rsid w:val="00741078"/>
    <w:rsid w:val="00741ABD"/>
    <w:rsid w:val="00743DE2"/>
    <w:rsid w:val="00744892"/>
    <w:rsid w:val="00744925"/>
    <w:rsid w:val="00750272"/>
    <w:rsid w:val="00750546"/>
    <w:rsid w:val="00750619"/>
    <w:rsid w:val="007564D0"/>
    <w:rsid w:val="00757170"/>
    <w:rsid w:val="007604A7"/>
    <w:rsid w:val="0076084D"/>
    <w:rsid w:val="00761485"/>
    <w:rsid w:val="00761E06"/>
    <w:rsid w:val="007635DE"/>
    <w:rsid w:val="0076379F"/>
    <w:rsid w:val="00763F9D"/>
    <w:rsid w:val="00764C94"/>
    <w:rsid w:val="00766C99"/>
    <w:rsid w:val="007705DD"/>
    <w:rsid w:val="00771459"/>
    <w:rsid w:val="00771E0A"/>
    <w:rsid w:val="007745C0"/>
    <w:rsid w:val="0078011D"/>
    <w:rsid w:val="0078215F"/>
    <w:rsid w:val="00782236"/>
    <w:rsid w:val="007834CE"/>
    <w:rsid w:val="0078395F"/>
    <w:rsid w:val="00783BE0"/>
    <w:rsid w:val="00783C94"/>
    <w:rsid w:val="0078423B"/>
    <w:rsid w:val="007853E3"/>
    <w:rsid w:val="00786B6D"/>
    <w:rsid w:val="00787455"/>
    <w:rsid w:val="00787F21"/>
    <w:rsid w:val="0079036C"/>
    <w:rsid w:val="00790AA4"/>
    <w:rsid w:val="00795A71"/>
    <w:rsid w:val="00795AC5"/>
    <w:rsid w:val="00796513"/>
    <w:rsid w:val="007A0B9F"/>
    <w:rsid w:val="007A1B8D"/>
    <w:rsid w:val="007A3261"/>
    <w:rsid w:val="007A3BD8"/>
    <w:rsid w:val="007A4060"/>
    <w:rsid w:val="007A5337"/>
    <w:rsid w:val="007A61E6"/>
    <w:rsid w:val="007A65DC"/>
    <w:rsid w:val="007B1C44"/>
    <w:rsid w:val="007B1F42"/>
    <w:rsid w:val="007B368E"/>
    <w:rsid w:val="007B500F"/>
    <w:rsid w:val="007B5A63"/>
    <w:rsid w:val="007B5BEA"/>
    <w:rsid w:val="007B6602"/>
    <w:rsid w:val="007B6F5F"/>
    <w:rsid w:val="007B706F"/>
    <w:rsid w:val="007C0185"/>
    <w:rsid w:val="007C0F2D"/>
    <w:rsid w:val="007C1584"/>
    <w:rsid w:val="007C1614"/>
    <w:rsid w:val="007C337D"/>
    <w:rsid w:val="007C4BBD"/>
    <w:rsid w:val="007C5568"/>
    <w:rsid w:val="007C58BA"/>
    <w:rsid w:val="007C5AB9"/>
    <w:rsid w:val="007C69B8"/>
    <w:rsid w:val="007C758B"/>
    <w:rsid w:val="007C7A0E"/>
    <w:rsid w:val="007D18D7"/>
    <w:rsid w:val="007D569F"/>
    <w:rsid w:val="007D6E2B"/>
    <w:rsid w:val="007E174A"/>
    <w:rsid w:val="007E178D"/>
    <w:rsid w:val="007E2735"/>
    <w:rsid w:val="007E3008"/>
    <w:rsid w:val="007E4CFD"/>
    <w:rsid w:val="007E6082"/>
    <w:rsid w:val="007E6712"/>
    <w:rsid w:val="007E75D5"/>
    <w:rsid w:val="007F0DD0"/>
    <w:rsid w:val="007F1A3C"/>
    <w:rsid w:val="007F1DC3"/>
    <w:rsid w:val="007F5176"/>
    <w:rsid w:val="007F620F"/>
    <w:rsid w:val="007F7A19"/>
    <w:rsid w:val="00800BC4"/>
    <w:rsid w:val="008011D2"/>
    <w:rsid w:val="00801E32"/>
    <w:rsid w:val="008035FC"/>
    <w:rsid w:val="008040AE"/>
    <w:rsid w:val="008042BD"/>
    <w:rsid w:val="0080493C"/>
    <w:rsid w:val="0080541A"/>
    <w:rsid w:val="00806287"/>
    <w:rsid w:val="00806EF9"/>
    <w:rsid w:val="00806F91"/>
    <w:rsid w:val="00807C76"/>
    <w:rsid w:val="0081094A"/>
    <w:rsid w:val="00811434"/>
    <w:rsid w:val="0081282E"/>
    <w:rsid w:val="00814F9F"/>
    <w:rsid w:val="0081523A"/>
    <w:rsid w:val="00815249"/>
    <w:rsid w:val="008158E1"/>
    <w:rsid w:val="008168CC"/>
    <w:rsid w:val="00816A7D"/>
    <w:rsid w:val="00817B54"/>
    <w:rsid w:val="00817CCC"/>
    <w:rsid w:val="00820207"/>
    <w:rsid w:val="00820AB2"/>
    <w:rsid w:val="00820AED"/>
    <w:rsid w:val="00820D61"/>
    <w:rsid w:val="00821E7B"/>
    <w:rsid w:val="008230F0"/>
    <w:rsid w:val="00823767"/>
    <w:rsid w:val="00823998"/>
    <w:rsid w:val="00824146"/>
    <w:rsid w:val="00825251"/>
    <w:rsid w:val="00825E93"/>
    <w:rsid w:val="008301B3"/>
    <w:rsid w:val="00831CAA"/>
    <w:rsid w:val="008321F5"/>
    <w:rsid w:val="00832A15"/>
    <w:rsid w:val="0083467C"/>
    <w:rsid w:val="00835E38"/>
    <w:rsid w:val="008375CA"/>
    <w:rsid w:val="00841528"/>
    <w:rsid w:val="00841C2B"/>
    <w:rsid w:val="00841C6D"/>
    <w:rsid w:val="00844B50"/>
    <w:rsid w:val="008466A0"/>
    <w:rsid w:val="008472CC"/>
    <w:rsid w:val="0085002C"/>
    <w:rsid w:val="0085002F"/>
    <w:rsid w:val="008513EA"/>
    <w:rsid w:val="0085233F"/>
    <w:rsid w:val="00853F8E"/>
    <w:rsid w:val="00854D0B"/>
    <w:rsid w:val="00857E6A"/>
    <w:rsid w:val="008634E1"/>
    <w:rsid w:val="00863F7D"/>
    <w:rsid w:val="008677F4"/>
    <w:rsid w:val="008708FB"/>
    <w:rsid w:val="00874587"/>
    <w:rsid w:val="0087462A"/>
    <w:rsid w:val="00874D93"/>
    <w:rsid w:val="008762FC"/>
    <w:rsid w:val="0087674A"/>
    <w:rsid w:val="00880BAA"/>
    <w:rsid w:val="008846AB"/>
    <w:rsid w:val="00884BB5"/>
    <w:rsid w:val="00886ACD"/>
    <w:rsid w:val="008870E8"/>
    <w:rsid w:val="008879C6"/>
    <w:rsid w:val="008918B8"/>
    <w:rsid w:val="00893434"/>
    <w:rsid w:val="008934E5"/>
    <w:rsid w:val="008948A9"/>
    <w:rsid w:val="00895239"/>
    <w:rsid w:val="00896CA2"/>
    <w:rsid w:val="00896E1C"/>
    <w:rsid w:val="00896F92"/>
    <w:rsid w:val="008A0E8E"/>
    <w:rsid w:val="008A179A"/>
    <w:rsid w:val="008A1A79"/>
    <w:rsid w:val="008A1DEB"/>
    <w:rsid w:val="008A34BD"/>
    <w:rsid w:val="008A49C6"/>
    <w:rsid w:val="008A67D9"/>
    <w:rsid w:val="008A689B"/>
    <w:rsid w:val="008A6C60"/>
    <w:rsid w:val="008A755E"/>
    <w:rsid w:val="008B045F"/>
    <w:rsid w:val="008B0DD1"/>
    <w:rsid w:val="008B2255"/>
    <w:rsid w:val="008B2BF7"/>
    <w:rsid w:val="008B3ECD"/>
    <w:rsid w:val="008B540A"/>
    <w:rsid w:val="008B5A4C"/>
    <w:rsid w:val="008B62D6"/>
    <w:rsid w:val="008B77AF"/>
    <w:rsid w:val="008C0311"/>
    <w:rsid w:val="008C27F9"/>
    <w:rsid w:val="008C4DF0"/>
    <w:rsid w:val="008C5BC7"/>
    <w:rsid w:val="008C638D"/>
    <w:rsid w:val="008C6D72"/>
    <w:rsid w:val="008C7638"/>
    <w:rsid w:val="008D0BD8"/>
    <w:rsid w:val="008D322B"/>
    <w:rsid w:val="008D45EC"/>
    <w:rsid w:val="008D4788"/>
    <w:rsid w:val="008D4C7C"/>
    <w:rsid w:val="008D4CF7"/>
    <w:rsid w:val="008D4FAC"/>
    <w:rsid w:val="008D5C12"/>
    <w:rsid w:val="008D6A7D"/>
    <w:rsid w:val="008D6C29"/>
    <w:rsid w:val="008E0711"/>
    <w:rsid w:val="008E0A50"/>
    <w:rsid w:val="008E22BB"/>
    <w:rsid w:val="008E2ADF"/>
    <w:rsid w:val="008E2BA0"/>
    <w:rsid w:val="008E3525"/>
    <w:rsid w:val="008E398C"/>
    <w:rsid w:val="008E4908"/>
    <w:rsid w:val="008E4F19"/>
    <w:rsid w:val="008E62A4"/>
    <w:rsid w:val="008F0A53"/>
    <w:rsid w:val="008F19DE"/>
    <w:rsid w:val="008F458A"/>
    <w:rsid w:val="008F49FD"/>
    <w:rsid w:val="008F51D9"/>
    <w:rsid w:val="008F5BE7"/>
    <w:rsid w:val="008F5EF3"/>
    <w:rsid w:val="008F6792"/>
    <w:rsid w:val="008F6989"/>
    <w:rsid w:val="00901EBC"/>
    <w:rsid w:val="009028AD"/>
    <w:rsid w:val="00902D9E"/>
    <w:rsid w:val="00903A9F"/>
    <w:rsid w:val="00903AE0"/>
    <w:rsid w:val="00904235"/>
    <w:rsid w:val="00910180"/>
    <w:rsid w:val="0091026A"/>
    <w:rsid w:val="009110BA"/>
    <w:rsid w:val="009122EA"/>
    <w:rsid w:val="00914B25"/>
    <w:rsid w:val="00914F9A"/>
    <w:rsid w:val="0091585B"/>
    <w:rsid w:val="009159BC"/>
    <w:rsid w:val="00917D11"/>
    <w:rsid w:val="00921251"/>
    <w:rsid w:val="0092160F"/>
    <w:rsid w:val="009216CB"/>
    <w:rsid w:val="009216F8"/>
    <w:rsid w:val="0092371D"/>
    <w:rsid w:val="00923CFC"/>
    <w:rsid w:val="00923F73"/>
    <w:rsid w:val="00924BF2"/>
    <w:rsid w:val="00925A48"/>
    <w:rsid w:val="009275B1"/>
    <w:rsid w:val="00930CE9"/>
    <w:rsid w:val="00931ACB"/>
    <w:rsid w:val="00931C88"/>
    <w:rsid w:val="009327CB"/>
    <w:rsid w:val="00932EA2"/>
    <w:rsid w:val="00934036"/>
    <w:rsid w:val="00935092"/>
    <w:rsid w:val="009351F5"/>
    <w:rsid w:val="00935CB2"/>
    <w:rsid w:val="00936681"/>
    <w:rsid w:val="00940E90"/>
    <w:rsid w:val="0094133E"/>
    <w:rsid w:val="00942479"/>
    <w:rsid w:val="00942790"/>
    <w:rsid w:val="00947ED8"/>
    <w:rsid w:val="009503EA"/>
    <w:rsid w:val="009504EB"/>
    <w:rsid w:val="0095051D"/>
    <w:rsid w:val="0095063C"/>
    <w:rsid w:val="009525C8"/>
    <w:rsid w:val="00952D56"/>
    <w:rsid w:val="009531E9"/>
    <w:rsid w:val="009544BB"/>
    <w:rsid w:val="0095477A"/>
    <w:rsid w:val="0095569E"/>
    <w:rsid w:val="009567DF"/>
    <w:rsid w:val="009573F3"/>
    <w:rsid w:val="00957EC3"/>
    <w:rsid w:val="00957F06"/>
    <w:rsid w:val="0096053B"/>
    <w:rsid w:val="0096104A"/>
    <w:rsid w:val="00962894"/>
    <w:rsid w:val="00962D92"/>
    <w:rsid w:val="009637FD"/>
    <w:rsid w:val="00963C53"/>
    <w:rsid w:val="00963C57"/>
    <w:rsid w:val="00963E6A"/>
    <w:rsid w:val="00964A45"/>
    <w:rsid w:val="009650A5"/>
    <w:rsid w:val="009668C1"/>
    <w:rsid w:val="009700F4"/>
    <w:rsid w:val="00970782"/>
    <w:rsid w:val="00971B92"/>
    <w:rsid w:val="00971DE1"/>
    <w:rsid w:val="00972A9A"/>
    <w:rsid w:val="00972AB9"/>
    <w:rsid w:val="00974192"/>
    <w:rsid w:val="009742D5"/>
    <w:rsid w:val="0097432F"/>
    <w:rsid w:val="009746D6"/>
    <w:rsid w:val="00974703"/>
    <w:rsid w:val="00974B11"/>
    <w:rsid w:val="00974E2B"/>
    <w:rsid w:val="009759EA"/>
    <w:rsid w:val="00975E6B"/>
    <w:rsid w:val="009763AE"/>
    <w:rsid w:val="00977E79"/>
    <w:rsid w:val="0098074A"/>
    <w:rsid w:val="00980B5F"/>
    <w:rsid w:val="00980ED4"/>
    <w:rsid w:val="00981F27"/>
    <w:rsid w:val="009822D7"/>
    <w:rsid w:val="00982EB8"/>
    <w:rsid w:val="00982F16"/>
    <w:rsid w:val="0098356C"/>
    <w:rsid w:val="00983CBE"/>
    <w:rsid w:val="00983EA0"/>
    <w:rsid w:val="009857AD"/>
    <w:rsid w:val="009864C3"/>
    <w:rsid w:val="009877C8"/>
    <w:rsid w:val="00987B00"/>
    <w:rsid w:val="00987B96"/>
    <w:rsid w:val="00987BA2"/>
    <w:rsid w:val="00987D27"/>
    <w:rsid w:val="00990106"/>
    <w:rsid w:val="00990184"/>
    <w:rsid w:val="00990DA3"/>
    <w:rsid w:val="009921B2"/>
    <w:rsid w:val="009935F0"/>
    <w:rsid w:val="00993888"/>
    <w:rsid w:val="00994553"/>
    <w:rsid w:val="00994604"/>
    <w:rsid w:val="0099511A"/>
    <w:rsid w:val="009959A7"/>
    <w:rsid w:val="009968AB"/>
    <w:rsid w:val="00996A63"/>
    <w:rsid w:val="0099750E"/>
    <w:rsid w:val="009A1480"/>
    <w:rsid w:val="009A1A00"/>
    <w:rsid w:val="009A1DA3"/>
    <w:rsid w:val="009A2DA3"/>
    <w:rsid w:val="009A47C6"/>
    <w:rsid w:val="009A4F77"/>
    <w:rsid w:val="009A5F84"/>
    <w:rsid w:val="009A72D2"/>
    <w:rsid w:val="009B00E4"/>
    <w:rsid w:val="009B0674"/>
    <w:rsid w:val="009B0687"/>
    <w:rsid w:val="009B1220"/>
    <w:rsid w:val="009B257A"/>
    <w:rsid w:val="009B25A0"/>
    <w:rsid w:val="009B3553"/>
    <w:rsid w:val="009B3C3C"/>
    <w:rsid w:val="009B3FD9"/>
    <w:rsid w:val="009B43B4"/>
    <w:rsid w:val="009B4648"/>
    <w:rsid w:val="009B50AC"/>
    <w:rsid w:val="009B5D6F"/>
    <w:rsid w:val="009B5E8A"/>
    <w:rsid w:val="009B7956"/>
    <w:rsid w:val="009C02F3"/>
    <w:rsid w:val="009C166A"/>
    <w:rsid w:val="009C1C2A"/>
    <w:rsid w:val="009C2298"/>
    <w:rsid w:val="009C417A"/>
    <w:rsid w:val="009C6CE0"/>
    <w:rsid w:val="009C768A"/>
    <w:rsid w:val="009C7EDF"/>
    <w:rsid w:val="009C7FED"/>
    <w:rsid w:val="009D10AA"/>
    <w:rsid w:val="009D185E"/>
    <w:rsid w:val="009D5253"/>
    <w:rsid w:val="009D5579"/>
    <w:rsid w:val="009D56DF"/>
    <w:rsid w:val="009D74F1"/>
    <w:rsid w:val="009D76CD"/>
    <w:rsid w:val="009D7C3B"/>
    <w:rsid w:val="009D7F0E"/>
    <w:rsid w:val="009E0130"/>
    <w:rsid w:val="009E075A"/>
    <w:rsid w:val="009E0788"/>
    <w:rsid w:val="009E0BFD"/>
    <w:rsid w:val="009E2434"/>
    <w:rsid w:val="009E2929"/>
    <w:rsid w:val="009E2FAB"/>
    <w:rsid w:val="009E393F"/>
    <w:rsid w:val="009E3BAF"/>
    <w:rsid w:val="009E4964"/>
    <w:rsid w:val="009E5CF0"/>
    <w:rsid w:val="009E6FC0"/>
    <w:rsid w:val="009E7A94"/>
    <w:rsid w:val="009F13DE"/>
    <w:rsid w:val="009F1EED"/>
    <w:rsid w:val="009F6374"/>
    <w:rsid w:val="009F7403"/>
    <w:rsid w:val="00A00316"/>
    <w:rsid w:val="00A01A4E"/>
    <w:rsid w:val="00A02638"/>
    <w:rsid w:val="00A02E8A"/>
    <w:rsid w:val="00A03831"/>
    <w:rsid w:val="00A0402A"/>
    <w:rsid w:val="00A04230"/>
    <w:rsid w:val="00A0551F"/>
    <w:rsid w:val="00A05C38"/>
    <w:rsid w:val="00A078FE"/>
    <w:rsid w:val="00A07F25"/>
    <w:rsid w:val="00A122EC"/>
    <w:rsid w:val="00A127E8"/>
    <w:rsid w:val="00A138A2"/>
    <w:rsid w:val="00A16F46"/>
    <w:rsid w:val="00A1757F"/>
    <w:rsid w:val="00A17674"/>
    <w:rsid w:val="00A1792F"/>
    <w:rsid w:val="00A17C39"/>
    <w:rsid w:val="00A23CC9"/>
    <w:rsid w:val="00A23F73"/>
    <w:rsid w:val="00A256ED"/>
    <w:rsid w:val="00A259F8"/>
    <w:rsid w:val="00A26444"/>
    <w:rsid w:val="00A26832"/>
    <w:rsid w:val="00A276C4"/>
    <w:rsid w:val="00A27DA5"/>
    <w:rsid w:val="00A32F9B"/>
    <w:rsid w:val="00A330DC"/>
    <w:rsid w:val="00A358DA"/>
    <w:rsid w:val="00A40375"/>
    <w:rsid w:val="00A409CA"/>
    <w:rsid w:val="00A40EC1"/>
    <w:rsid w:val="00A41EF4"/>
    <w:rsid w:val="00A41F3B"/>
    <w:rsid w:val="00A43589"/>
    <w:rsid w:val="00A435C4"/>
    <w:rsid w:val="00A43E47"/>
    <w:rsid w:val="00A443CB"/>
    <w:rsid w:val="00A44ECE"/>
    <w:rsid w:val="00A476F6"/>
    <w:rsid w:val="00A52A3F"/>
    <w:rsid w:val="00A53392"/>
    <w:rsid w:val="00A55EF9"/>
    <w:rsid w:val="00A563E8"/>
    <w:rsid w:val="00A56986"/>
    <w:rsid w:val="00A56BF4"/>
    <w:rsid w:val="00A602CB"/>
    <w:rsid w:val="00A632FD"/>
    <w:rsid w:val="00A6451A"/>
    <w:rsid w:val="00A65343"/>
    <w:rsid w:val="00A654C1"/>
    <w:rsid w:val="00A65D6A"/>
    <w:rsid w:val="00A66DAB"/>
    <w:rsid w:val="00A67040"/>
    <w:rsid w:val="00A67255"/>
    <w:rsid w:val="00A672F8"/>
    <w:rsid w:val="00A67770"/>
    <w:rsid w:val="00A67E8E"/>
    <w:rsid w:val="00A67FF1"/>
    <w:rsid w:val="00A703BB"/>
    <w:rsid w:val="00A70D0D"/>
    <w:rsid w:val="00A7193F"/>
    <w:rsid w:val="00A73DDE"/>
    <w:rsid w:val="00A75F61"/>
    <w:rsid w:val="00A81505"/>
    <w:rsid w:val="00A818CE"/>
    <w:rsid w:val="00A81BFB"/>
    <w:rsid w:val="00A8233D"/>
    <w:rsid w:val="00A82CA2"/>
    <w:rsid w:val="00A82CE6"/>
    <w:rsid w:val="00A83A26"/>
    <w:rsid w:val="00A83CF3"/>
    <w:rsid w:val="00A8536D"/>
    <w:rsid w:val="00A861B5"/>
    <w:rsid w:val="00A870C2"/>
    <w:rsid w:val="00A8772B"/>
    <w:rsid w:val="00A918A1"/>
    <w:rsid w:val="00A91C69"/>
    <w:rsid w:val="00A92103"/>
    <w:rsid w:val="00A922CF"/>
    <w:rsid w:val="00A924C6"/>
    <w:rsid w:val="00A9386B"/>
    <w:rsid w:val="00A939B3"/>
    <w:rsid w:val="00A9459F"/>
    <w:rsid w:val="00A951F1"/>
    <w:rsid w:val="00A96501"/>
    <w:rsid w:val="00A9707F"/>
    <w:rsid w:val="00AA07A7"/>
    <w:rsid w:val="00AA0C3A"/>
    <w:rsid w:val="00AA358E"/>
    <w:rsid w:val="00AA48C8"/>
    <w:rsid w:val="00AA5248"/>
    <w:rsid w:val="00AA6C16"/>
    <w:rsid w:val="00AA7DAD"/>
    <w:rsid w:val="00AB0702"/>
    <w:rsid w:val="00AB183B"/>
    <w:rsid w:val="00AB1D22"/>
    <w:rsid w:val="00AB364F"/>
    <w:rsid w:val="00AB37F0"/>
    <w:rsid w:val="00AB4610"/>
    <w:rsid w:val="00AB699B"/>
    <w:rsid w:val="00AC0A97"/>
    <w:rsid w:val="00AC0EFE"/>
    <w:rsid w:val="00AC2A03"/>
    <w:rsid w:val="00AC42C3"/>
    <w:rsid w:val="00AC4D7B"/>
    <w:rsid w:val="00AC5076"/>
    <w:rsid w:val="00AC5224"/>
    <w:rsid w:val="00AC5683"/>
    <w:rsid w:val="00AC5AF5"/>
    <w:rsid w:val="00AC5EAF"/>
    <w:rsid w:val="00AD2B68"/>
    <w:rsid w:val="00AD33F7"/>
    <w:rsid w:val="00AD4881"/>
    <w:rsid w:val="00AD50B7"/>
    <w:rsid w:val="00AD5F1C"/>
    <w:rsid w:val="00AD6328"/>
    <w:rsid w:val="00AD6346"/>
    <w:rsid w:val="00AD6DF6"/>
    <w:rsid w:val="00AD714B"/>
    <w:rsid w:val="00AD75F6"/>
    <w:rsid w:val="00AE17C7"/>
    <w:rsid w:val="00AE2E43"/>
    <w:rsid w:val="00AE30B0"/>
    <w:rsid w:val="00AE34AF"/>
    <w:rsid w:val="00AE3A79"/>
    <w:rsid w:val="00AE572B"/>
    <w:rsid w:val="00AE5D42"/>
    <w:rsid w:val="00AE6819"/>
    <w:rsid w:val="00AF0610"/>
    <w:rsid w:val="00AF0952"/>
    <w:rsid w:val="00AF0CE2"/>
    <w:rsid w:val="00AF0E31"/>
    <w:rsid w:val="00AF11A8"/>
    <w:rsid w:val="00AF1F1C"/>
    <w:rsid w:val="00AF349E"/>
    <w:rsid w:val="00AF589B"/>
    <w:rsid w:val="00AF68D6"/>
    <w:rsid w:val="00B00E62"/>
    <w:rsid w:val="00B02F83"/>
    <w:rsid w:val="00B0557D"/>
    <w:rsid w:val="00B05853"/>
    <w:rsid w:val="00B05D1D"/>
    <w:rsid w:val="00B065CA"/>
    <w:rsid w:val="00B06F04"/>
    <w:rsid w:val="00B079EF"/>
    <w:rsid w:val="00B10AE4"/>
    <w:rsid w:val="00B10FD3"/>
    <w:rsid w:val="00B15116"/>
    <w:rsid w:val="00B154BF"/>
    <w:rsid w:val="00B165C8"/>
    <w:rsid w:val="00B16EC4"/>
    <w:rsid w:val="00B20942"/>
    <w:rsid w:val="00B23613"/>
    <w:rsid w:val="00B237E9"/>
    <w:rsid w:val="00B25A5E"/>
    <w:rsid w:val="00B26308"/>
    <w:rsid w:val="00B26383"/>
    <w:rsid w:val="00B30A65"/>
    <w:rsid w:val="00B30F63"/>
    <w:rsid w:val="00B319F7"/>
    <w:rsid w:val="00B31B74"/>
    <w:rsid w:val="00B33A06"/>
    <w:rsid w:val="00B343D1"/>
    <w:rsid w:val="00B353F0"/>
    <w:rsid w:val="00B3610C"/>
    <w:rsid w:val="00B36162"/>
    <w:rsid w:val="00B412B5"/>
    <w:rsid w:val="00B4208C"/>
    <w:rsid w:val="00B42390"/>
    <w:rsid w:val="00B43AF5"/>
    <w:rsid w:val="00B4453C"/>
    <w:rsid w:val="00B45025"/>
    <w:rsid w:val="00B45AD5"/>
    <w:rsid w:val="00B463F0"/>
    <w:rsid w:val="00B4696B"/>
    <w:rsid w:val="00B507DA"/>
    <w:rsid w:val="00B50A8C"/>
    <w:rsid w:val="00B51707"/>
    <w:rsid w:val="00B5170F"/>
    <w:rsid w:val="00B52E9F"/>
    <w:rsid w:val="00B53062"/>
    <w:rsid w:val="00B53BAF"/>
    <w:rsid w:val="00B54914"/>
    <w:rsid w:val="00B54D09"/>
    <w:rsid w:val="00B55062"/>
    <w:rsid w:val="00B56021"/>
    <w:rsid w:val="00B61124"/>
    <w:rsid w:val="00B61DE0"/>
    <w:rsid w:val="00B634FF"/>
    <w:rsid w:val="00B644D5"/>
    <w:rsid w:val="00B64B0F"/>
    <w:rsid w:val="00B64CDA"/>
    <w:rsid w:val="00B67F7A"/>
    <w:rsid w:val="00B70127"/>
    <w:rsid w:val="00B713CD"/>
    <w:rsid w:val="00B71C62"/>
    <w:rsid w:val="00B7213A"/>
    <w:rsid w:val="00B72329"/>
    <w:rsid w:val="00B72D19"/>
    <w:rsid w:val="00B73114"/>
    <w:rsid w:val="00B755BF"/>
    <w:rsid w:val="00B75FE2"/>
    <w:rsid w:val="00B760E5"/>
    <w:rsid w:val="00B81109"/>
    <w:rsid w:val="00B814B1"/>
    <w:rsid w:val="00B82269"/>
    <w:rsid w:val="00B826A9"/>
    <w:rsid w:val="00B83B5B"/>
    <w:rsid w:val="00B85C99"/>
    <w:rsid w:val="00B863C4"/>
    <w:rsid w:val="00B86D41"/>
    <w:rsid w:val="00B90595"/>
    <w:rsid w:val="00B91E13"/>
    <w:rsid w:val="00B9269D"/>
    <w:rsid w:val="00B9290A"/>
    <w:rsid w:val="00B94349"/>
    <w:rsid w:val="00B94A75"/>
    <w:rsid w:val="00B9565F"/>
    <w:rsid w:val="00B96122"/>
    <w:rsid w:val="00BA0888"/>
    <w:rsid w:val="00BA08FD"/>
    <w:rsid w:val="00BA21FA"/>
    <w:rsid w:val="00BA226A"/>
    <w:rsid w:val="00BA339F"/>
    <w:rsid w:val="00BA3EBF"/>
    <w:rsid w:val="00BA47DE"/>
    <w:rsid w:val="00BA7F71"/>
    <w:rsid w:val="00BB0A95"/>
    <w:rsid w:val="00BB1CD9"/>
    <w:rsid w:val="00BB3E02"/>
    <w:rsid w:val="00BB3FCE"/>
    <w:rsid w:val="00BB5161"/>
    <w:rsid w:val="00BB5920"/>
    <w:rsid w:val="00BC1B8D"/>
    <w:rsid w:val="00BC2353"/>
    <w:rsid w:val="00BC26C4"/>
    <w:rsid w:val="00BC2819"/>
    <w:rsid w:val="00BC290F"/>
    <w:rsid w:val="00BC494E"/>
    <w:rsid w:val="00BC4B0B"/>
    <w:rsid w:val="00BC578D"/>
    <w:rsid w:val="00BC7545"/>
    <w:rsid w:val="00BD18EA"/>
    <w:rsid w:val="00BD1B0E"/>
    <w:rsid w:val="00BD2052"/>
    <w:rsid w:val="00BD20F9"/>
    <w:rsid w:val="00BD2D39"/>
    <w:rsid w:val="00BD3B66"/>
    <w:rsid w:val="00BD4B77"/>
    <w:rsid w:val="00BD4FB7"/>
    <w:rsid w:val="00BD67FF"/>
    <w:rsid w:val="00BD6C83"/>
    <w:rsid w:val="00BE171B"/>
    <w:rsid w:val="00BE1C93"/>
    <w:rsid w:val="00BE1F59"/>
    <w:rsid w:val="00BE35DC"/>
    <w:rsid w:val="00BE5814"/>
    <w:rsid w:val="00BE6994"/>
    <w:rsid w:val="00BE7377"/>
    <w:rsid w:val="00BF10EC"/>
    <w:rsid w:val="00BF4A93"/>
    <w:rsid w:val="00BF52BD"/>
    <w:rsid w:val="00BF5565"/>
    <w:rsid w:val="00BF5EFF"/>
    <w:rsid w:val="00C03EBC"/>
    <w:rsid w:val="00C0406D"/>
    <w:rsid w:val="00C04399"/>
    <w:rsid w:val="00C04719"/>
    <w:rsid w:val="00C05E71"/>
    <w:rsid w:val="00C060E3"/>
    <w:rsid w:val="00C06504"/>
    <w:rsid w:val="00C10ED2"/>
    <w:rsid w:val="00C114F0"/>
    <w:rsid w:val="00C11AAF"/>
    <w:rsid w:val="00C11DC9"/>
    <w:rsid w:val="00C12251"/>
    <w:rsid w:val="00C14D4B"/>
    <w:rsid w:val="00C157F6"/>
    <w:rsid w:val="00C15B95"/>
    <w:rsid w:val="00C16BD8"/>
    <w:rsid w:val="00C16C10"/>
    <w:rsid w:val="00C17B01"/>
    <w:rsid w:val="00C17C62"/>
    <w:rsid w:val="00C20AB8"/>
    <w:rsid w:val="00C21351"/>
    <w:rsid w:val="00C21C5B"/>
    <w:rsid w:val="00C22A48"/>
    <w:rsid w:val="00C22B54"/>
    <w:rsid w:val="00C236E5"/>
    <w:rsid w:val="00C24B14"/>
    <w:rsid w:val="00C25B27"/>
    <w:rsid w:val="00C25F18"/>
    <w:rsid w:val="00C25FF6"/>
    <w:rsid w:val="00C26BAC"/>
    <w:rsid w:val="00C27242"/>
    <w:rsid w:val="00C27301"/>
    <w:rsid w:val="00C27A94"/>
    <w:rsid w:val="00C300AF"/>
    <w:rsid w:val="00C33251"/>
    <w:rsid w:val="00C361EB"/>
    <w:rsid w:val="00C36C40"/>
    <w:rsid w:val="00C37655"/>
    <w:rsid w:val="00C402D9"/>
    <w:rsid w:val="00C4033F"/>
    <w:rsid w:val="00C41528"/>
    <w:rsid w:val="00C41A0B"/>
    <w:rsid w:val="00C41C99"/>
    <w:rsid w:val="00C41E38"/>
    <w:rsid w:val="00C4278D"/>
    <w:rsid w:val="00C42FB8"/>
    <w:rsid w:val="00C45D61"/>
    <w:rsid w:val="00C45E9A"/>
    <w:rsid w:val="00C46EB1"/>
    <w:rsid w:val="00C47004"/>
    <w:rsid w:val="00C47AB1"/>
    <w:rsid w:val="00C503E3"/>
    <w:rsid w:val="00C505A9"/>
    <w:rsid w:val="00C50AE2"/>
    <w:rsid w:val="00C5127C"/>
    <w:rsid w:val="00C51411"/>
    <w:rsid w:val="00C520E7"/>
    <w:rsid w:val="00C52373"/>
    <w:rsid w:val="00C536B6"/>
    <w:rsid w:val="00C5399C"/>
    <w:rsid w:val="00C54071"/>
    <w:rsid w:val="00C544EF"/>
    <w:rsid w:val="00C55BBE"/>
    <w:rsid w:val="00C614C0"/>
    <w:rsid w:val="00C6216D"/>
    <w:rsid w:val="00C6243C"/>
    <w:rsid w:val="00C629DD"/>
    <w:rsid w:val="00C6333D"/>
    <w:rsid w:val="00C63DFE"/>
    <w:rsid w:val="00C63F24"/>
    <w:rsid w:val="00C64789"/>
    <w:rsid w:val="00C659AD"/>
    <w:rsid w:val="00C65F11"/>
    <w:rsid w:val="00C66FE5"/>
    <w:rsid w:val="00C67397"/>
    <w:rsid w:val="00C67723"/>
    <w:rsid w:val="00C70E2E"/>
    <w:rsid w:val="00C714CC"/>
    <w:rsid w:val="00C714E0"/>
    <w:rsid w:val="00C7168A"/>
    <w:rsid w:val="00C7204F"/>
    <w:rsid w:val="00C75819"/>
    <w:rsid w:val="00C76F41"/>
    <w:rsid w:val="00C80251"/>
    <w:rsid w:val="00C80437"/>
    <w:rsid w:val="00C80952"/>
    <w:rsid w:val="00C809BC"/>
    <w:rsid w:val="00C80CCE"/>
    <w:rsid w:val="00C81B6C"/>
    <w:rsid w:val="00C82C3C"/>
    <w:rsid w:val="00C84260"/>
    <w:rsid w:val="00C8495D"/>
    <w:rsid w:val="00C867EF"/>
    <w:rsid w:val="00C869C2"/>
    <w:rsid w:val="00C86A4B"/>
    <w:rsid w:val="00C8726A"/>
    <w:rsid w:val="00C874CE"/>
    <w:rsid w:val="00C87873"/>
    <w:rsid w:val="00C90030"/>
    <w:rsid w:val="00C913B3"/>
    <w:rsid w:val="00C92118"/>
    <w:rsid w:val="00C921BD"/>
    <w:rsid w:val="00C9281B"/>
    <w:rsid w:val="00C962EC"/>
    <w:rsid w:val="00C9664B"/>
    <w:rsid w:val="00C96AE4"/>
    <w:rsid w:val="00C9726F"/>
    <w:rsid w:val="00CA0639"/>
    <w:rsid w:val="00CA0CD1"/>
    <w:rsid w:val="00CA0D50"/>
    <w:rsid w:val="00CA1F63"/>
    <w:rsid w:val="00CA2EB7"/>
    <w:rsid w:val="00CA4946"/>
    <w:rsid w:val="00CA4DE7"/>
    <w:rsid w:val="00CA4E45"/>
    <w:rsid w:val="00CA7721"/>
    <w:rsid w:val="00CB2C9E"/>
    <w:rsid w:val="00CB383A"/>
    <w:rsid w:val="00CB41BE"/>
    <w:rsid w:val="00CB4386"/>
    <w:rsid w:val="00CB4AF3"/>
    <w:rsid w:val="00CB53F1"/>
    <w:rsid w:val="00CB6EED"/>
    <w:rsid w:val="00CC2BC6"/>
    <w:rsid w:val="00CC3570"/>
    <w:rsid w:val="00CC371D"/>
    <w:rsid w:val="00CC3E6D"/>
    <w:rsid w:val="00CC4399"/>
    <w:rsid w:val="00CC43F7"/>
    <w:rsid w:val="00CC440A"/>
    <w:rsid w:val="00CC58BC"/>
    <w:rsid w:val="00CC664D"/>
    <w:rsid w:val="00CC67B6"/>
    <w:rsid w:val="00CC7405"/>
    <w:rsid w:val="00CC7444"/>
    <w:rsid w:val="00CD018C"/>
    <w:rsid w:val="00CD098C"/>
    <w:rsid w:val="00CD25F9"/>
    <w:rsid w:val="00CD318C"/>
    <w:rsid w:val="00CD428B"/>
    <w:rsid w:val="00CD43A3"/>
    <w:rsid w:val="00CD48C5"/>
    <w:rsid w:val="00CD4A40"/>
    <w:rsid w:val="00CE12BD"/>
    <w:rsid w:val="00CE2BC3"/>
    <w:rsid w:val="00CE3422"/>
    <w:rsid w:val="00CE6AB2"/>
    <w:rsid w:val="00CE6E51"/>
    <w:rsid w:val="00CE7E68"/>
    <w:rsid w:val="00CF2FC5"/>
    <w:rsid w:val="00CF3649"/>
    <w:rsid w:val="00CF3FC9"/>
    <w:rsid w:val="00CF406C"/>
    <w:rsid w:val="00CF498D"/>
    <w:rsid w:val="00CF4B51"/>
    <w:rsid w:val="00CF5C28"/>
    <w:rsid w:val="00CF6A49"/>
    <w:rsid w:val="00CF798F"/>
    <w:rsid w:val="00D002F7"/>
    <w:rsid w:val="00D00D42"/>
    <w:rsid w:val="00D01BCF"/>
    <w:rsid w:val="00D01DCF"/>
    <w:rsid w:val="00D02262"/>
    <w:rsid w:val="00D0230F"/>
    <w:rsid w:val="00D029A9"/>
    <w:rsid w:val="00D04170"/>
    <w:rsid w:val="00D04851"/>
    <w:rsid w:val="00D04F02"/>
    <w:rsid w:val="00D05C10"/>
    <w:rsid w:val="00D078F5"/>
    <w:rsid w:val="00D07B88"/>
    <w:rsid w:val="00D1243C"/>
    <w:rsid w:val="00D12C28"/>
    <w:rsid w:val="00D13EA1"/>
    <w:rsid w:val="00D16026"/>
    <w:rsid w:val="00D17A1A"/>
    <w:rsid w:val="00D2016F"/>
    <w:rsid w:val="00D20A51"/>
    <w:rsid w:val="00D22555"/>
    <w:rsid w:val="00D23295"/>
    <w:rsid w:val="00D236BB"/>
    <w:rsid w:val="00D2468B"/>
    <w:rsid w:val="00D25D28"/>
    <w:rsid w:val="00D26178"/>
    <w:rsid w:val="00D27179"/>
    <w:rsid w:val="00D30962"/>
    <w:rsid w:val="00D30D3B"/>
    <w:rsid w:val="00D30E10"/>
    <w:rsid w:val="00D32624"/>
    <w:rsid w:val="00D334BF"/>
    <w:rsid w:val="00D335F8"/>
    <w:rsid w:val="00D33801"/>
    <w:rsid w:val="00D3467F"/>
    <w:rsid w:val="00D3554A"/>
    <w:rsid w:val="00D356BD"/>
    <w:rsid w:val="00D35826"/>
    <w:rsid w:val="00D361C9"/>
    <w:rsid w:val="00D42E76"/>
    <w:rsid w:val="00D449CE"/>
    <w:rsid w:val="00D44D75"/>
    <w:rsid w:val="00D45492"/>
    <w:rsid w:val="00D46360"/>
    <w:rsid w:val="00D464EB"/>
    <w:rsid w:val="00D46544"/>
    <w:rsid w:val="00D4724E"/>
    <w:rsid w:val="00D473EC"/>
    <w:rsid w:val="00D475D2"/>
    <w:rsid w:val="00D47F7F"/>
    <w:rsid w:val="00D5039B"/>
    <w:rsid w:val="00D50487"/>
    <w:rsid w:val="00D504EB"/>
    <w:rsid w:val="00D50CB4"/>
    <w:rsid w:val="00D50FFC"/>
    <w:rsid w:val="00D54470"/>
    <w:rsid w:val="00D54619"/>
    <w:rsid w:val="00D555BB"/>
    <w:rsid w:val="00D55FE4"/>
    <w:rsid w:val="00D56AA9"/>
    <w:rsid w:val="00D5720C"/>
    <w:rsid w:val="00D61A5D"/>
    <w:rsid w:val="00D61F47"/>
    <w:rsid w:val="00D6223A"/>
    <w:rsid w:val="00D63852"/>
    <w:rsid w:val="00D63995"/>
    <w:rsid w:val="00D63E3E"/>
    <w:rsid w:val="00D6419B"/>
    <w:rsid w:val="00D64B33"/>
    <w:rsid w:val="00D65B9C"/>
    <w:rsid w:val="00D665E2"/>
    <w:rsid w:val="00D7002B"/>
    <w:rsid w:val="00D714B9"/>
    <w:rsid w:val="00D73B6C"/>
    <w:rsid w:val="00D74788"/>
    <w:rsid w:val="00D75474"/>
    <w:rsid w:val="00D75A38"/>
    <w:rsid w:val="00D75EA0"/>
    <w:rsid w:val="00D776AC"/>
    <w:rsid w:val="00D80AC9"/>
    <w:rsid w:val="00D80F7D"/>
    <w:rsid w:val="00D82089"/>
    <w:rsid w:val="00D83033"/>
    <w:rsid w:val="00D8367A"/>
    <w:rsid w:val="00D853C5"/>
    <w:rsid w:val="00D85B04"/>
    <w:rsid w:val="00D86098"/>
    <w:rsid w:val="00D87491"/>
    <w:rsid w:val="00D90015"/>
    <w:rsid w:val="00D912C8"/>
    <w:rsid w:val="00D91C66"/>
    <w:rsid w:val="00D92F7A"/>
    <w:rsid w:val="00D94F77"/>
    <w:rsid w:val="00D96AA7"/>
    <w:rsid w:val="00D97AC3"/>
    <w:rsid w:val="00D97B7A"/>
    <w:rsid w:val="00DA0CAD"/>
    <w:rsid w:val="00DA3252"/>
    <w:rsid w:val="00DA34CC"/>
    <w:rsid w:val="00DA38F1"/>
    <w:rsid w:val="00DA38F4"/>
    <w:rsid w:val="00DA42A5"/>
    <w:rsid w:val="00DA42DC"/>
    <w:rsid w:val="00DA47D9"/>
    <w:rsid w:val="00DA5E29"/>
    <w:rsid w:val="00DA75DE"/>
    <w:rsid w:val="00DB0B78"/>
    <w:rsid w:val="00DB1323"/>
    <w:rsid w:val="00DB2FCA"/>
    <w:rsid w:val="00DB361B"/>
    <w:rsid w:val="00DB4970"/>
    <w:rsid w:val="00DB4CB0"/>
    <w:rsid w:val="00DB5BCB"/>
    <w:rsid w:val="00DB6A6C"/>
    <w:rsid w:val="00DB7AF4"/>
    <w:rsid w:val="00DC00A6"/>
    <w:rsid w:val="00DC08C2"/>
    <w:rsid w:val="00DC0930"/>
    <w:rsid w:val="00DC1919"/>
    <w:rsid w:val="00DC1BF4"/>
    <w:rsid w:val="00DC3A56"/>
    <w:rsid w:val="00DC5407"/>
    <w:rsid w:val="00DC7712"/>
    <w:rsid w:val="00DD07EE"/>
    <w:rsid w:val="00DD0B6A"/>
    <w:rsid w:val="00DD0E26"/>
    <w:rsid w:val="00DD194D"/>
    <w:rsid w:val="00DD1B68"/>
    <w:rsid w:val="00DD220C"/>
    <w:rsid w:val="00DD34A2"/>
    <w:rsid w:val="00DD35B1"/>
    <w:rsid w:val="00DD3A0E"/>
    <w:rsid w:val="00DD4411"/>
    <w:rsid w:val="00DD608A"/>
    <w:rsid w:val="00DD7669"/>
    <w:rsid w:val="00DE1096"/>
    <w:rsid w:val="00DE215C"/>
    <w:rsid w:val="00DE3381"/>
    <w:rsid w:val="00DE3852"/>
    <w:rsid w:val="00DE40DA"/>
    <w:rsid w:val="00DE4AB9"/>
    <w:rsid w:val="00DE6523"/>
    <w:rsid w:val="00DE6C88"/>
    <w:rsid w:val="00DE7EB5"/>
    <w:rsid w:val="00DF015D"/>
    <w:rsid w:val="00DF022E"/>
    <w:rsid w:val="00DF05A0"/>
    <w:rsid w:val="00DF13A7"/>
    <w:rsid w:val="00DF1562"/>
    <w:rsid w:val="00DF1C77"/>
    <w:rsid w:val="00DF1E6F"/>
    <w:rsid w:val="00DF247B"/>
    <w:rsid w:val="00DF287D"/>
    <w:rsid w:val="00DF2ADA"/>
    <w:rsid w:val="00DF2ECD"/>
    <w:rsid w:val="00DF2FE1"/>
    <w:rsid w:val="00DF70D0"/>
    <w:rsid w:val="00DF7EFD"/>
    <w:rsid w:val="00E00B84"/>
    <w:rsid w:val="00E034BC"/>
    <w:rsid w:val="00E04049"/>
    <w:rsid w:val="00E04BDA"/>
    <w:rsid w:val="00E04C72"/>
    <w:rsid w:val="00E0766B"/>
    <w:rsid w:val="00E10538"/>
    <w:rsid w:val="00E108D9"/>
    <w:rsid w:val="00E11974"/>
    <w:rsid w:val="00E119E1"/>
    <w:rsid w:val="00E12023"/>
    <w:rsid w:val="00E12981"/>
    <w:rsid w:val="00E12C32"/>
    <w:rsid w:val="00E12EFA"/>
    <w:rsid w:val="00E12FD0"/>
    <w:rsid w:val="00E13CEA"/>
    <w:rsid w:val="00E1481A"/>
    <w:rsid w:val="00E1485B"/>
    <w:rsid w:val="00E15C53"/>
    <w:rsid w:val="00E163AC"/>
    <w:rsid w:val="00E21331"/>
    <w:rsid w:val="00E224A7"/>
    <w:rsid w:val="00E22895"/>
    <w:rsid w:val="00E22E42"/>
    <w:rsid w:val="00E23224"/>
    <w:rsid w:val="00E234E7"/>
    <w:rsid w:val="00E24FB7"/>
    <w:rsid w:val="00E25A1C"/>
    <w:rsid w:val="00E31815"/>
    <w:rsid w:val="00E32DE9"/>
    <w:rsid w:val="00E330F5"/>
    <w:rsid w:val="00E3507D"/>
    <w:rsid w:val="00E366F3"/>
    <w:rsid w:val="00E36B06"/>
    <w:rsid w:val="00E36DDF"/>
    <w:rsid w:val="00E374BA"/>
    <w:rsid w:val="00E37A1E"/>
    <w:rsid w:val="00E4058F"/>
    <w:rsid w:val="00E42C33"/>
    <w:rsid w:val="00E43146"/>
    <w:rsid w:val="00E43BBC"/>
    <w:rsid w:val="00E449C3"/>
    <w:rsid w:val="00E44D12"/>
    <w:rsid w:val="00E45BEE"/>
    <w:rsid w:val="00E46AE3"/>
    <w:rsid w:val="00E5056E"/>
    <w:rsid w:val="00E50C53"/>
    <w:rsid w:val="00E51CAB"/>
    <w:rsid w:val="00E51F07"/>
    <w:rsid w:val="00E53BEC"/>
    <w:rsid w:val="00E55401"/>
    <w:rsid w:val="00E55A94"/>
    <w:rsid w:val="00E561BF"/>
    <w:rsid w:val="00E56450"/>
    <w:rsid w:val="00E57ED3"/>
    <w:rsid w:val="00E61792"/>
    <w:rsid w:val="00E61E44"/>
    <w:rsid w:val="00E6306B"/>
    <w:rsid w:val="00E65248"/>
    <w:rsid w:val="00E65622"/>
    <w:rsid w:val="00E6594F"/>
    <w:rsid w:val="00E65AE2"/>
    <w:rsid w:val="00E70B05"/>
    <w:rsid w:val="00E70CF2"/>
    <w:rsid w:val="00E71152"/>
    <w:rsid w:val="00E712D1"/>
    <w:rsid w:val="00E7220D"/>
    <w:rsid w:val="00E752F7"/>
    <w:rsid w:val="00E80D60"/>
    <w:rsid w:val="00E81D57"/>
    <w:rsid w:val="00E82C1C"/>
    <w:rsid w:val="00E82D7C"/>
    <w:rsid w:val="00E83A6F"/>
    <w:rsid w:val="00E84E83"/>
    <w:rsid w:val="00E86452"/>
    <w:rsid w:val="00E87611"/>
    <w:rsid w:val="00E908E5"/>
    <w:rsid w:val="00E90B75"/>
    <w:rsid w:val="00E92072"/>
    <w:rsid w:val="00E930E7"/>
    <w:rsid w:val="00E93DCA"/>
    <w:rsid w:val="00E94157"/>
    <w:rsid w:val="00E94447"/>
    <w:rsid w:val="00E94C7A"/>
    <w:rsid w:val="00E95C00"/>
    <w:rsid w:val="00E961E1"/>
    <w:rsid w:val="00E96F6F"/>
    <w:rsid w:val="00EA049E"/>
    <w:rsid w:val="00EA0963"/>
    <w:rsid w:val="00EA3588"/>
    <w:rsid w:val="00EA3D87"/>
    <w:rsid w:val="00EA584B"/>
    <w:rsid w:val="00EA593C"/>
    <w:rsid w:val="00EA640C"/>
    <w:rsid w:val="00EA7AC6"/>
    <w:rsid w:val="00EA7E12"/>
    <w:rsid w:val="00EB1623"/>
    <w:rsid w:val="00EB1B78"/>
    <w:rsid w:val="00EB1C4E"/>
    <w:rsid w:val="00EB1D0A"/>
    <w:rsid w:val="00EB2395"/>
    <w:rsid w:val="00EB2A71"/>
    <w:rsid w:val="00EB4C59"/>
    <w:rsid w:val="00EB5C9A"/>
    <w:rsid w:val="00EB77AF"/>
    <w:rsid w:val="00EC130F"/>
    <w:rsid w:val="00EC2611"/>
    <w:rsid w:val="00EC43E0"/>
    <w:rsid w:val="00EC5593"/>
    <w:rsid w:val="00EC57B1"/>
    <w:rsid w:val="00EC69C2"/>
    <w:rsid w:val="00EC6DA1"/>
    <w:rsid w:val="00ED01F7"/>
    <w:rsid w:val="00ED0733"/>
    <w:rsid w:val="00ED1D81"/>
    <w:rsid w:val="00ED1EA3"/>
    <w:rsid w:val="00ED285B"/>
    <w:rsid w:val="00ED2B2C"/>
    <w:rsid w:val="00ED3832"/>
    <w:rsid w:val="00ED57F9"/>
    <w:rsid w:val="00EE0090"/>
    <w:rsid w:val="00EE14E7"/>
    <w:rsid w:val="00EE2D69"/>
    <w:rsid w:val="00EE4F3E"/>
    <w:rsid w:val="00EE5475"/>
    <w:rsid w:val="00EE646C"/>
    <w:rsid w:val="00EE697A"/>
    <w:rsid w:val="00EE6B5B"/>
    <w:rsid w:val="00EF05E1"/>
    <w:rsid w:val="00EF0910"/>
    <w:rsid w:val="00EF0F2A"/>
    <w:rsid w:val="00EF213D"/>
    <w:rsid w:val="00EF27CC"/>
    <w:rsid w:val="00EF2FEB"/>
    <w:rsid w:val="00EF3603"/>
    <w:rsid w:val="00EF4F64"/>
    <w:rsid w:val="00EF648E"/>
    <w:rsid w:val="00EF7431"/>
    <w:rsid w:val="00EF7B1D"/>
    <w:rsid w:val="00F02DE8"/>
    <w:rsid w:val="00F04553"/>
    <w:rsid w:val="00F050A5"/>
    <w:rsid w:val="00F0605E"/>
    <w:rsid w:val="00F06747"/>
    <w:rsid w:val="00F109B1"/>
    <w:rsid w:val="00F10CDE"/>
    <w:rsid w:val="00F124EA"/>
    <w:rsid w:val="00F1252C"/>
    <w:rsid w:val="00F159F2"/>
    <w:rsid w:val="00F15A0A"/>
    <w:rsid w:val="00F1637C"/>
    <w:rsid w:val="00F1716B"/>
    <w:rsid w:val="00F175EA"/>
    <w:rsid w:val="00F17819"/>
    <w:rsid w:val="00F17CE4"/>
    <w:rsid w:val="00F21999"/>
    <w:rsid w:val="00F22DAE"/>
    <w:rsid w:val="00F23B93"/>
    <w:rsid w:val="00F245FD"/>
    <w:rsid w:val="00F2580F"/>
    <w:rsid w:val="00F25BD5"/>
    <w:rsid w:val="00F263C6"/>
    <w:rsid w:val="00F27CD3"/>
    <w:rsid w:val="00F30402"/>
    <w:rsid w:val="00F30A32"/>
    <w:rsid w:val="00F30EE8"/>
    <w:rsid w:val="00F31938"/>
    <w:rsid w:val="00F32A58"/>
    <w:rsid w:val="00F32D38"/>
    <w:rsid w:val="00F33092"/>
    <w:rsid w:val="00F33538"/>
    <w:rsid w:val="00F33B8C"/>
    <w:rsid w:val="00F33D98"/>
    <w:rsid w:val="00F341EA"/>
    <w:rsid w:val="00F3459A"/>
    <w:rsid w:val="00F35057"/>
    <w:rsid w:val="00F355D0"/>
    <w:rsid w:val="00F3568D"/>
    <w:rsid w:val="00F35C01"/>
    <w:rsid w:val="00F35C53"/>
    <w:rsid w:val="00F364DE"/>
    <w:rsid w:val="00F36A7E"/>
    <w:rsid w:val="00F37120"/>
    <w:rsid w:val="00F4052F"/>
    <w:rsid w:val="00F40867"/>
    <w:rsid w:val="00F40C6E"/>
    <w:rsid w:val="00F41025"/>
    <w:rsid w:val="00F429AA"/>
    <w:rsid w:val="00F4322F"/>
    <w:rsid w:val="00F44179"/>
    <w:rsid w:val="00F45548"/>
    <w:rsid w:val="00F45F66"/>
    <w:rsid w:val="00F5003A"/>
    <w:rsid w:val="00F50741"/>
    <w:rsid w:val="00F50BC4"/>
    <w:rsid w:val="00F50E6D"/>
    <w:rsid w:val="00F51D2F"/>
    <w:rsid w:val="00F52290"/>
    <w:rsid w:val="00F53D56"/>
    <w:rsid w:val="00F5442E"/>
    <w:rsid w:val="00F54456"/>
    <w:rsid w:val="00F5651F"/>
    <w:rsid w:val="00F57681"/>
    <w:rsid w:val="00F57727"/>
    <w:rsid w:val="00F57C8B"/>
    <w:rsid w:val="00F6153B"/>
    <w:rsid w:val="00F61854"/>
    <w:rsid w:val="00F62BB6"/>
    <w:rsid w:val="00F632FF"/>
    <w:rsid w:val="00F64FAA"/>
    <w:rsid w:val="00F66455"/>
    <w:rsid w:val="00F6788C"/>
    <w:rsid w:val="00F678F5"/>
    <w:rsid w:val="00F72389"/>
    <w:rsid w:val="00F723FF"/>
    <w:rsid w:val="00F72F4B"/>
    <w:rsid w:val="00F746E1"/>
    <w:rsid w:val="00F74741"/>
    <w:rsid w:val="00F74DAC"/>
    <w:rsid w:val="00F7542A"/>
    <w:rsid w:val="00F80BA0"/>
    <w:rsid w:val="00F8411D"/>
    <w:rsid w:val="00F8476F"/>
    <w:rsid w:val="00F856B4"/>
    <w:rsid w:val="00F869EB"/>
    <w:rsid w:val="00F8742C"/>
    <w:rsid w:val="00F903D6"/>
    <w:rsid w:val="00F912DE"/>
    <w:rsid w:val="00F91FF1"/>
    <w:rsid w:val="00F9221A"/>
    <w:rsid w:val="00F93195"/>
    <w:rsid w:val="00F9550B"/>
    <w:rsid w:val="00F9645D"/>
    <w:rsid w:val="00F9654B"/>
    <w:rsid w:val="00F96E40"/>
    <w:rsid w:val="00F97F86"/>
    <w:rsid w:val="00FA06F6"/>
    <w:rsid w:val="00FA1AEE"/>
    <w:rsid w:val="00FA1C6E"/>
    <w:rsid w:val="00FA27AC"/>
    <w:rsid w:val="00FA2F5E"/>
    <w:rsid w:val="00FA2FF0"/>
    <w:rsid w:val="00FA4C44"/>
    <w:rsid w:val="00FA4D2D"/>
    <w:rsid w:val="00FA58AB"/>
    <w:rsid w:val="00FA6DA7"/>
    <w:rsid w:val="00FA727B"/>
    <w:rsid w:val="00FA7F8E"/>
    <w:rsid w:val="00FB10C7"/>
    <w:rsid w:val="00FB4BE0"/>
    <w:rsid w:val="00FB5717"/>
    <w:rsid w:val="00FB6643"/>
    <w:rsid w:val="00FB66C2"/>
    <w:rsid w:val="00FB7349"/>
    <w:rsid w:val="00FC11A4"/>
    <w:rsid w:val="00FC16E9"/>
    <w:rsid w:val="00FC234B"/>
    <w:rsid w:val="00FC2F1A"/>
    <w:rsid w:val="00FC332C"/>
    <w:rsid w:val="00FC39BF"/>
    <w:rsid w:val="00FC65FD"/>
    <w:rsid w:val="00FC663B"/>
    <w:rsid w:val="00FC6A48"/>
    <w:rsid w:val="00FC6DF8"/>
    <w:rsid w:val="00FD08B2"/>
    <w:rsid w:val="00FD1B1E"/>
    <w:rsid w:val="00FD21B9"/>
    <w:rsid w:val="00FD249B"/>
    <w:rsid w:val="00FD2DB8"/>
    <w:rsid w:val="00FD327C"/>
    <w:rsid w:val="00FD511F"/>
    <w:rsid w:val="00FD55C5"/>
    <w:rsid w:val="00FD57FD"/>
    <w:rsid w:val="00FD6B66"/>
    <w:rsid w:val="00FE1829"/>
    <w:rsid w:val="00FE3615"/>
    <w:rsid w:val="00FE418F"/>
    <w:rsid w:val="00FE4519"/>
    <w:rsid w:val="00FE4AE4"/>
    <w:rsid w:val="00FE5DE6"/>
    <w:rsid w:val="00FF0305"/>
    <w:rsid w:val="00FF0635"/>
    <w:rsid w:val="00FF20D0"/>
    <w:rsid w:val="00FF3650"/>
    <w:rsid w:val="00FF46E5"/>
    <w:rsid w:val="00FF48C9"/>
    <w:rsid w:val="00FF4BF8"/>
    <w:rsid w:val="00FF5AAC"/>
    <w:rsid w:val="00FF6175"/>
    <w:rsid w:val="00FF7561"/>
    <w:rsid w:val="00FF75AC"/>
    <w:rsid w:val="00FF7ADA"/>
    <w:rsid w:val="00FF7B4A"/>
    <w:rsid w:val="010073E9"/>
    <w:rsid w:val="01066A48"/>
    <w:rsid w:val="010B1261"/>
    <w:rsid w:val="01323CE1"/>
    <w:rsid w:val="014359F2"/>
    <w:rsid w:val="016D6AC7"/>
    <w:rsid w:val="017815E6"/>
    <w:rsid w:val="017F0888"/>
    <w:rsid w:val="01866164"/>
    <w:rsid w:val="019D115B"/>
    <w:rsid w:val="019F1377"/>
    <w:rsid w:val="01A32CDC"/>
    <w:rsid w:val="01A96179"/>
    <w:rsid w:val="0248052C"/>
    <w:rsid w:val="025D58CD"/>
    <w:rsid w:val="029244B0"/>
    <w:rsid w:val="02B52A48"/>
    <w:rsid w:val="02FF7BF3"/>
    <w:rsid w:val="03114D40"/>
    <w:rsid w:val="033B6081"/>
    <w:rsid w:val="034C2839"/>
    <w:rsid w:val="034E1F6F"/>
    <w:rsid w:val="03692931"/>
    <w:rsid w:val="03843986"/>
    <w:rsid w:val="03B804CE"/>
    <w:rsid w:val="03BD2079"/>
    <w:rsid w:val="03CC5D27"/>
    <w:rsid w:val="040D2AF9"/>
    <w:rsid w:val="04151E13"/>
    <w:rsid w:val="044216AA"/>
    <w:rsid w:val="04541CF0"/>
    <w:rsid w:val="04884FB4"/>
    <w:rsid w:val="04905BC5"/>
    <w:rsid w:val="04B50338"/>
    <w:rsid w:val="04D70A40"/>
    <w:rsid w:val="04F437AB"/>
    <w:rsid w:val="05017E17"/>
    <w:rsid w:val="0532719A"/>
    <w:rsid w:val="05687CD1"/>
    <w:rsid w:val="057A7C3C"/>
    <w:rsid w:val="059C797B"/>
    <w:rsid w:val="05C321A6"/>
    <w:rsid w:val="05E4614D"/>
    <w:rsid w:val="05F72E03"/>
    <w:rsid w:val="06085A47"/>
    <w:rsid w:val="06086A7D"/>
    <w:rsid w:val="060A7BA0"/>
    <w:rsid w:val="06256876"/>
    <w:rsid w:val="06467CD9"/>
    <w:rsid w:val="06782EF1"/>
    <w:rsid w:val="06897EFF"/>
    <w:rsid w:val="06911091"/>
    <w:rsid w:val="06C3720A"/>
    <w:rsid w:val="06CA028C"/>
    <w:rsid w:val="06D31098"/>
    <w:rsid w:val="06DB482C"/>
    <w:rsid w:val="06DC2725"/>
    <w:rsid w:val="06F30DED"/>
    <w:rsid w:val="070F6E8E"/>
    <w:rsid w:val="078A2181"/>
    <w:rsid w:val="07950B26"/>
    <w:rsid w:val="07A14383"/>
    <w:rsid w:val="07BE1792"/>
    <w:rsid w:val="07C2024F"/>
    <w:rsid w:val="07C4110F"/>
    <w:rsid w:val="07CF5DE6"/>
    <w:rsid w:val="07F712CB"/>
    <w:rsid w:val="0800161B"/>
    <w:rsid w:val="08273E74"/>
    <w:rsid w:val="08291A63"/>
    <w:rsid w:val="082E5202"/>
    <w:rsid w:val="08425F97"/>
    <w:rsid w:val="0854453D"/>
    <w:rsid w:val="085C1889"/>
    <w:rsid w:val="08612B75"/>
    <w:rsid w:val="089B266C"/>
    <w:rsid w:val="089D43F1"/>
    <w:rsid w:val="08A22FFF"/>
    <w:rsid w:val="08A70553"/>
    <w:rsid w:val="08C9372F"/>
    <w:rsid w:val="08E30F28"/>
    <w:rsid w:val="08F455F2"/>
    <w:rsid w:val="08FC5106"/>
    <w:rsid w:val="090A7712"/>
    <w:rsid w:val="0919443A"/>
    <w:rsid w:val="091A12E3"/>
    <w:rsid w:val="091A588A"/>
    <w:rsid w:val="093A7101"/>
    <w:rsid w:val="095C18FB"/>
    <w:rsid w:val="096D0515"/>
    <w:rsid w:val="09A35950"/>
    <w:rsid w:val="09A514F4"/>
    <w:rsid w:val="09B4084C"/>
    <w:rsid w:val="09D019BF"/>
    <w:rsid w:val="09EA5159"/>
    <w:rsid w:val="09FC30DE"/>
    <w:rsid w:val="0A085F8B"/>
    <w:rsid w:val="0A161FF0"/>
    <w:rsid w:val="0A516CE7"/>
    <w:rsid w:val="0A607EB8"/>
    <w:rsid w:val="0A6B2D01"/>
    <w:rsid w:val="0A7D1530"/>
    <w:rsid w:val="0ABB1DE6"/>
    <w:rsid w:val="0ADC5B29"/>
    <w:rsid w:val="0B6F77E5"/>
    <w:rsid w:val="0B8415DD"/>
    <w:rsid w:val="0B8E7D66"/>
    <w:rsid w:val="0B93265A"/>
    <w:rsid w:val="0BAB2C6B"/>
    <w:rsid w:val="0BDE0D92"/>
    <w:rsid w:val="0C15403F"/>
    <w:rsid w:val="0C1B6FE5"/>
    <w:rsid w:val="0C2A7D29"/>
    <w:rsid w:val="0C5E4C5D"/>
    <w:rsid w:val="0C713C02"/>
    <w:rsid w:val="0C886D05"/>
    <w:rsid w:val="0C8E3D95"/>
    <w:rsid w:val="0CA267B8"/>
    <w:rsid w:val="0CA35A93"/>
    <w:rsid w:val="0CBF689E"/>
    <w:rsid w:val="0CE53567"/>
    <w:rsid w:val="0D1C11E0"/>
    <w:rsid w:val="0D1F511A"/>
    <w:rsid w:val="0D251DB6"/>
    <w:rsid w:val="0D3D5EE8"/>
    <w:rsid w:val="0D477641"/>
    <w:rsid w:val="0D63713A"/>
    <w:rsid w:val="0D7E6F49"/>
    <w:rsid w:val="0D902191"/>
    <w:rsid w:val="0DA33647"/>
    <w:rsid w:val="0DE6032D"/>
    <w:rsid w:val="0DEA7A91"/>
    <w:rsid w:val="0DEB5944"/>
    <w:rsid w:val="0E043C43"/>
    <w:rsid w:val="0E0D4F0F"/>
    <w:rsid w:val="0E1D5AD3"/>
    <w:rsid w:val="0E2C2D3E"/>
    <w:rsid w:val="0E38413D"/>
    <w:rsid w:val="0E521909"/>
    <w:rsid w:val="0E5B6625"/>
    <w:rsid w:val="0E635EF9"/>
    <w:rsid w:val="0E663F55"/>
    <w:rsid w:val="0E6F1E2F"/>
    <w:rsid w:val="0E7B501C"/>
    <w:rsid w:val="0E8B5135"/>
    <w:rsid w:val="0E950445"/>
    <w:rsid w:val="0E992715"/>
    <w:rsid w:val="0EB36461"/>
    <w:rsid w:val="0EB650BF"/>
    <w:rsid w:val="0EB903D3"/>
    <w:rsid w:val="0EC73137"/>
    <w:rsid w:val="0ED117E9"/>
    <w:rsid w:val="0ED65203"/>
    <w:rsid w:val="0EE43D8A"/>
    <w:rsid w:val="0EEE7499"/>
    <w:rsid w:val="0F1A64E0"/>
    <w:rsid w:val="0F2049D9"/>
    <w:rsid w:val="0F465389"/>
    <w:rsid w:val="0F5B4403"/>
    <w:rsid w:val="0F6239E3"/>
    <w:rsid w:val="0F7F6FBC"/>
    <w:rsid w:val="0FD032C0"/>
    <w:rsid w:val="0FDF7A3C"/>
    <w:rsid w:val="0FFA6FF1"/>
    <w:rsid w:val="102C1B2C"/>
    <w:rsid w:val="105D7650"/>
    <w:rsid w:val="109B50DA"/>
    <w:rsid w:val="10AD01F7"/>
    <w:rsid w:val="10B56AF3"/>
    <w:rsid w:val="10C624C4"/>
    <w:rsid w:val="10DE59AE"/>
    <w:rsid w:val="10E93381"/>
    <w:rsid w:val="11027A8A"/>
    <w:rsid w:val="110C00AB"/>
    <w:rsid w:val="112D0F84"/>
    <w:rsid w:val="115B7E0D"/>
    <w:rsid w:val="116F1260"/>
    <w:rsid w:val="117B09A4"/>
    <w:rsid w:val="11AC0B2A"/>
    <w:rsid w:val="11AC53EA"/>
    <w:rsid w:val="11D97647"/>
    <w:rsid w:val="12080872"/>
    <w:rsid w:val="120D40DA"/>
    <w:rsid w:val="12184AF4"/>
    <w:rsid w:val="1223075D"/>
    <w:rsid w:val="12506973"/>
    <w:rsid w:val="125C13A6"/>
    <w:rsid w:val="12743A81"/>
    <w:rsid w:val="12877022"/>
    <w:rsid w:val="128B4FFF"/>
    <w:rsid w:val="12C50511"/>
    <w:rsid w:val="12CB383E"/>
    <w:rsid w:val="12CC0E70"/>
    <w:rsid w:val="12F62A8E"/>
    <w:rsid w:val="12FA6367"/>
    <w:rsid w:val="13544459"/>
    <w:rsid w:val="13B50586"/>
    <w:rsid w:val="13C92283"/>
    <w:rsid w:val="13DA2702"/>
    <w:rsid w:val="13EB41FA"/>
    <w:rsid w:val="141D7875"/>
    <w:rsid w:val="143A0484"/>
    <w:rsid w:val="145C538A"/>
    <w:rsid w:val="148A26A1"/>
    <w:rsid w:val="148D32B1"/>
    <w:rsid w:val="14A8014F"/>
    <w:rsid w:val="14BF5588"/>
    <w:rsid w:val="14E60C13"/>
    <w:rsid w:val="14EB6229"/>
    <w:rsid w:val="153E73EA"/>
    <w:rsid w:val="15A44D56"/>
    <w:rsid w:val="15C63D1D"/>
    <w:rsid w:val="15CB7E80"/>
    <w:rsid w:val="15FB0E64"/>
    <w:rsid w:val="16096967"/>
    <w:rsid w:val="164B58F0"/>
    <w:rsid w:val="165C5A8B"/>
    <w:rsid w:val="16682FB8"/>
    <w:rsid w:val="16775464"/>
    <w:rsid w:val="16EA09FC"/>
    <w:rsid w:val="1740285C"/>
    <w:rsid w:val="17403B68"/>
    <w:rsid w:val="175D4AA9"/>
    <w:rsid w:val="17791F9C"/>
    <w:rsid w:val="178B04F8"/>
    <w:rsid w:val="17FA35AA"/>
    <w:rsid w:val="181F2617"/>
    <w:rsid w:val="1820412C"/>
    <w:rsid w:val="18221576"/>
    <w:rsid w:val="183D3DB6"/>
    <w:rsid w:val="183E5080"/>
    <w:rsid w:val="183F48C2"/>
    <w:rsid w:val="18A92683"/>
    <w:rsid w:val="19027978"/>
    <w:rsid w:val="19337DEC"/>
    <w:rsid w:val="193478F2"/>
    <w:rsid w:val="193A139E"/>
    <w:rsid w:val="19416241"/>
    <w:rsid w:val="195A572B"/>
    <w:rsid w:val="19AD1CFF"/>
    <w:rsid w:val="19BB3C04"/>
    <w:rsid w:val="19C40F81"/>
    <w:rsid w:val="19C9433C"/>
    <w:rsid w:val="1A072992"/>
    <w:rsid w:val="1A3B6870"/>
    <w:rsid w:val="1A427D29"/>
    <w:rsid w:val="1A5A5DBB"/>
    <w:rsid w:val="1A7D44BD"/>
    <w:rsid w:val="1A866FEF"/>
    <w:rsid w:val="1AC122E6"/>
    <w:rsid w:val="1AC45F3B"/>
    <w:rsid w:val="1AD427F4"/>
    <w:rsid w:val="1B0D00A7"/>
    <w:rsid w:val="1B260EFF"/>
    <w:rsid w:val="1B3F1CD3"/>
    <w:rsid w:val="1B465895"/>
    <w:rsid w:val="1B7619A8"/>
    <w:rsid w:val="1BA32696"/>
    <w:rsid w:val="1BA43EF7"/>
    <w:rsid w:val="1BEC6B0F"/>
    <w:rsid w:val="1BF34341"/>
    <w:rsid w:val="1C0227D6"/>
    <w:rsid w:val="1C221D98"/>
    <w:rsid w:val="1C2269D4"/>
    <w:rsid w:val="1C3D55BC"/>
    <w:rsid w:val="1C50355D"/>
    <w:rsid w:val="1C534567"/>
    <w:rsid w:val="1C586B2A"/>
    <w:rsid w:val="1C597F1C"/>
    <w:rsid w:val="1C643BC6"/>
    <w:rsid w:val="1C760ACE"/>
    <w:rsid w:val="1C896A53"/>
    <w:rsid w:val="1C993FB0"/>
    <w:rsid w:val="1CA52637"/>
    <w:rsid w:val="1CA93793"/>
    <w:rsid w:val="1CB86F6A"/>
    <w:rsid w:val="1CEB14BC"/>
    <w:rsid w:val="1CEC0D90"/>
    <w:rsid w:val="1CF84B07"/>
    <w:rsid w:val="1D156A99"/>
    <w:rsid w:val="1D37667D"/>
    <w:rsid w:val="1D4209B0"/>
    <w:rsid w:val="1D497BBF"/>
    <w:rsid w:val="1D5F1562"/>
    <w:rsid w:val="1D8C7F7D"/>
    <w:rsid w:val="1D952D46"/>
    <w:rsid w:val="1DA653E3"/>
    <w:rsid w:val="1DDB7CF2"/>
    <w:rsid w:val="1DED20B9"/>
    <w:rsid w:val="1DF613FE"/>
    <w:rsid w:val="1E110AAE"/>
    <w:rsid w:val="1E1C7453"/>
    <w:rsid w:val="1E4F15D7"/>
    <w:rsid w:val="1E58492F"/>
    <w:rsid w:val="1E68518D"/>
    <w:rsid w:val="1E8E2C79"/>
    <w:rsid w:val="1EC94541"/>
    <w:rsid w:val="1ED63AA6"/>
    <w:rsid w:val="1EF1268E"/>
    <w:rsid w:val="1EFF4DAB"/>
    <w:rsid w:val="1F072424"/>
    <w:rsid w:val="1F073C5F"/>
    <w:rsid w:val="1F4B3E9E"/>
    <w:rsid w:val="1F511DCC"/>
    <w:rsid w:val="1F702630"/>
    <w:rsid w:val="1FAF03BE"/>
    <w:rsid w:val="1FE62693"/>
    <w:rsid w:val="200C1F5C"/>
    <w:rsid w:val="201136BD"/>
    <w:rsid w:val="205A075B"/>
    <w:rsid w:val="206016CD"/>
    <w:rsid w:val="20A07065"/>
    <w:rsid w:val="20B54E3D"/>
    <w:rsid w:val="20BF3FD2"/>
    <w:rsid w:val="21115CF6"/>
    <w:rsid w:val="21220308"/>
    <w:rsid w:val="21417A0D"/>
    <w:rsid w:val="216C7582"/>
    <w:rsid w:val="217355DC"/>
    <w:rsid w:val="218872DA"/>
    <w:rsid w:val="21981101"/>
    <w:rsid w:val="21B64F29"/>
    <w:rsid w:val="22475364"/>
    <w:rsid w:val="226A7D59"/>
    <w:rsid w:val="226F2396"/>
    <w:rsid w:val="22702742"/>
    <w:rsid w:val="22720BE8"/>
    <w:rsid w:val="22724B1A"/>
    <w:rsid w:val="22777876"/>
    <w:rsid w:val="228539DA"/>
    <w:rsid w:val="228C128A"/>
    <w:rsid w:val="229D6DB5"/>
    <w:rsid w:val="22A55C69"/>
    <w:rsid w:val="22AC11EB"/>
    <w:rsid w:val="22BF646D"/>
    <w:rsid w:val="22EC7D10"/>
    <w:rsid w:val="22F47EEF"/>
    <w:rsid w:val="22FB2B87"/>
    <w:rsid w:val="231D13D1"/>
    <w:rsid w:val="232545BB"/>
    <w:rsid w:val="23326131"/>
    <w:rsid w:val="234A05BF"/>
    <w:rsid w:val="234B4A63"/>
    <w:rsid w:val="235A5E54"/>
    <w:rsid w:val="235B432A"/>
    <w:rsid w:val="235F70F5"/>
    <w:rsid w:val="23963804"/>
    <w:rsid w:val="23BB7507"/>
    <w:rsid w:val="24101F8A"/>
    <w:rsid w:val="24376D95"/>
    <w:rsid w:val="24843748"/>
    <w:rsid w:val="24856A85"/>
    <w:rsid w:val="24A1001F"/>
    <w:rsid w:val="24A621C5"/>
    <w:rsid w:val="24D82A4B"/>
    <w:rsid w:val="25205180"/>
    <w:rsid w:val="252751EF"/>
    <w:rsid w:val="2527683A"/>
    <w:rsid w:val="25317C88"/>
    <w:rsid w:val="25BD1FE8"/>
    <w:rsid w:val="25CA4D88"/>
    <w:rsid w:val="25CD1895"/>
    <w:rsid w:val="25D02FFD"/>
    <w:rsid w:val="25E7734B"/>
    <w:rsid w:val="261A4BC0"/>
    <w:rsid w:val="26355556"/>
    <w:rsid w:val="264A0180"/>
    <w:rsid w:val="265A62C2"/>
    <w:rsid w:val="265D41FA"/>
    <w:rsid w:val="26694CB8"/>
    <w:rsid w:val="2680161F"/>
    <w:rsid w:val="26B02E2F"/>
    <w:rsid w:val="26B33E27"/>
    <w:rsid w:val="26B7240F"/>
    <w:rsid w:val="26B77702"/>
    <w:rsid w:val="27076EF2"/>
    <w:rsid w:val="2719066D"/>
    <w:rsid w:val="27637EA1"/>
    <w:rsid w:val="27992782"/>
    <w:rsid w:val="27AB3D22"/>
    <w:rsid w:val="27BE4B95"/>
    <w:rsid w:val="282E28F9"/>
    <w:rsid w:val="284F1FD1"/>
    <w:rsid w:val="287265EE"/>
    <w:rsid w:val="28772858"/>
    <w:rsid w:val="289C6533"/>
    <w:rsid w:val="28A36429"/>
    <w:rsid w:val="28CB4DAA"/>
    <w:rsid w:val="28CF48F2"/>
    <w:rsid w:val="28D24FA3"/>
    <w:rsid w:val="28D4329C"/>
    <w:rsid w:val="28FB31CB"/>
    <w:rsid w:val="290C5662"/>
    <w:rsid w:val="29174CD9"/>
    <w:rsid w:val="29353D69"/>
    <w:rsid w:val="29425572"/>
    <w:rsid w:val="29494DB0"/>
    <w:rsid w:val="29521CEB"/>
    <w:rsid w:val="295368E0"/>
    <w:rsid w:val="29735B0A"/>
    <w:rsid w:val="297A576D"/>
    <w:rsid w:val="29A244B3"/>
    <w:rsid w:val="29A31F01"/>
    <w:rsid w:val="29B94358"/>
    <w:rsid w:val="29C966E1"/>
    <w:rsid w:val="29D71CBD"/>
    <w:rsid w:val="29E05655"/>
    <w:rsid w:val="2A1D3313"/>
    <w:rsid w:val="2A44045E"/>
    <w:rsid w:val="2A495A74"/>
    <w:rsid w:val="2A4B7F1E"/>
    <w:rsid w:val="2A602795"/>
    <w:rsid w:val="2ADB5CCE"/>
    <w:rsid w:val="2AEB2519"/>
    <w:rsid w:val="2B6C1A1A"/>
    <w:rsid w:val="2BA60CCC"/>
    <w:rsid w:val="2BAB7407"/>
    <w:rsid w:val="2BC2087A"/>
    <w:rsid w:val="2BE34B7A"/>
    <w:rsid w:val="2BE579DB"/>
    <w:rsid w:val="2C0C02E9"/>
    <w:rsid w:val="2C3B1B1B"/>
    <w:rsid w:val="2C6B4037"/>
    <w:rsid w:val="2C9A708D"/>
    <w:rsid w:val="2CB2481F"/>
    <w:rsid w:val="2CDA428F"/>
    <w:rsid w:val="2D222602"/>
    <w:rsid w:val="2D241F6F"/>
    <w:rsid w:val="2D49753A"/>
    <w:rsid w:val="2D723768"/>
    <w:rsid w:val="2D74105A"/>
    <w:rsid w:val="2D765527"/>
    <w:rsid w:val="2D81006B"/>
    <w:rsid w:val="2DDB2E87"/>
    <w:rsid w:val="2DDD275B"/>
    <w:rsid w:val="2DF6381D"/>
    <w:rsid w:val="2E320FD2"/>
    <w:rsid w:val="2E344F90"/>
    <w:rsid w:val="2EA27B52"/>
    <w:rsid w:val="2EB53854"/>
    <w:rsid w:val="2EB65002"/>
    <w:rsid w:val="2ED84D84"/>
    <w:rsid w:val="2EF312BC"/>
    <w:rsid w:val="2F2258B6"/>
    <w:rsid w:val="2F567F0F"/>
    <w:rsid w:val="2F57478F"/>
    <w:rsid w:val="2F7139E4"/>
    <w:rsid w:val="2FA07EE4"/>
    <w:rsid w:val="2FBE7AFB"/>
    <w:rsid w:val="2FE73D65"/>
    <w:rsid w:val="300C7EDC"/>
    <w:rsid w:val="3014442E"/>
    <w:rsid w:val="30590237"/>
    <w:rsid w:val="30785125"/>
    <w:rsid w:val="30AA67C9"/>
    <w:rsid w:val="30C931D7"/>
    <w:rsid w:val="30D836AE"/>
    <w:rsid w:val="30DF2EF5"/>
    <w:rsid w:val="30E43FA7"/>
    <w:rsid w:val="30EA2374"/>
    <w:rsid w:val="3111064E"/>
    <w:rsid w:val="31233FA3"/>
    <w:rsid w:val="312D483B"/>
    <w:rsid w:val="31633586"/>
    <w:rsid w:val="317165EF"/>
    <w:rsid w:val="31796EE6"/>
    <w:rsid w:val="318F0210"/>
    <w:rsid w:val="31932498"/>
    <w:rsid w:val="31A041CB"/>
    <w:rsid w:val="31F52564"/>
    <w:rsid w:val="321C0BDE"/>
    <w:rsid w:val="32577611"/>
    <w:rsid w:val="325A6A70"/>
    <w:rsid w:val="32633D3E"/>
    <w:rsid w:val="32E225C2"/>
    <w:rsid w:val="32E55E4E"/>
    <w:rsid w:val="32ED5C55"/>
    <w:rsid w:val="32F6443A"/>
    <w:rsid w:val="32F64465"/>
    <w:rsid w:val="32F6606D"/>
    <w:rsid w:val="331020FB"/>
    <w:rsid w:val="33214C49"/>
    <w:rsid w:val="332457B9"/>
    <w:rsid w:val="33314F7E"/>
    <w:rsid w:val="33386758"/>
    <w:rsid w:val="33462B51"/>
    <w:rsid w:val="334B6B48"/>
    <w:rsid w:val="33765FA1"/>
    <w:rsid w:val="33772B88"/>
    <w:rsid w:val="33784CD4"/>
    <w:rsid w:val="33D642F0"/>
    <w:rsid w:val="33DD1718"/>
    <w:rsid w:val="33F26952"/>
    <w:rsid w:val="341E2D11"/>
    <w:rsid w:val="342A7047"/>
    <w:rsid w:val="34895C73"/>
    <w:rsid w:val="3491429F"/>
    <w:rsid w:val="34943D90"/>
    <w:rsid w:val="34AF6AD4"/>
    <w:rsid w:val="34EC4156"/>
    <w:rsid w:val="350C1B78"/>
    <w:rsid w:val="352E5F92"/>
    <w:rsid w:val="354F27A8"/>
    <w:rsid w:val="35575444"/>
    <w:rsid w:val="35867B7C"/>
    <w:rsid w:val="359207AA"/>
    <w:rsid w:val="35B91D00"/>
    <w:rsid w:val="35DD75FE"/>
    <w:rsid w:val="36267DE7"/>
    <w:rsid w:val="363B4A32"/>
    <w:rsid w:val="36464CCC"/>
    <w:rsid w:val="365A32AC"/>
    <w:rsid w:val="36835C3C"/>
    <w:rsid w:val="36A253EA"/>
    <w:rsid w:val="36A87E6A"/>
    <w:rsid w:val="36AE391B"/>
    <w:rsid w:val="36B33CD5"/>
    <w:rsid w:val="36E565E7"/>
    <w:rsid w:val="36F0565E"/>
    <w:rsid w:val="370276D6"/>
    <w:rsid w:val="372E0B3E"/>
    <w:rsid w:val="37AE5168"/>
    <w:rsid w:val="37EE37B7"/>
    <w:rsid w:val="37F16F81"/>
    <w:rsid w:val="3800568F"/>
    <w:rsid w:val="381946E1"/>
    <w:rsid w:val="38242BA0"/>
    <w:rsid w:val="38262312"/>
    <w:rsid w:val="382C6D71"/>
    <w:rsid w:val="389C3213"/>
    <w:rsid w:val="38A73BEB"/>
    <w:rsid w:val="38AB255A"/>
    <w:rsid w:val="38D53146"/>
    <w:rsid w:val="38F56527"/>
    <w:rsid w:val="38FD3FB5"/>
    <w:rsid w:val="391C0ED0"/>
    <w:rsid w:val="3988287A"/>
    <w:rsid w:val="398937F5"/>
    <w:rsid w:val="39BF365D"/>
    <w:rsid w:val="39DE04AA"/>
    <w:rsid w:val="39E6508D"/>
    <w:rsid w:val="39F74554"/>
    <w:rsid w:val="39FF4DED"/>
    <w:rsid w:val="3A1D7F28"/>
    <w:rsid w:val="3A410516"/>
    <w:rsid w:val="3A485400"/>
    <w:rsid w:val="3A533F40"/>
    <w:rsid w:val="3A5B1B0F"/>
    <w:rsid w:val="3A7D450C"/>
    <w:rsid w:val="3A8769E2"/>
    <w:rsid w:val="3AC058DE"/>
    <w:rsid w:val="3AC32C4B"/>
    <w:rsid w:val="3AD34FAD"/>
    <w:rsid w:val="3AF17846"/>
    <w:rsid w:val="3B6444BC"/>
    <w:rsid w:val="3B76072E"/>
    <w:rsid w:val="3BB04588"/>
    <w:rsid w:val="3BE850ED"/>
    <w:rsid w:val="3BEA1C9E"/>
    <w:rsid w:val="3C34554B"/>
    <w:rsid w:val="3C5E1FB8"/>
    <w:rsid w:val="3C8B5A78"/>
    <w:rsid w:val="3C90308E"/>
    <w:rsid w:val="3CB34081"/>
    <w:rsid w:val="3CDB5FF6"/>
    <w:rsid w:val="3D01364E"/>
    <w:rsid w:val="3D0A75D7"/>
    <w:rsid w:val="3D4D564A"/>
    <w:rsid w:val="3D632551"/>
    <w:rsid w:val="3D7A6218"/>
    <w:rsid w:val="3D7D3613"/>
    <w:rsid w:val="3D9A53DC"/>
    <w:rsid w:val="3DA212CB"/>
    <w:rsid w:val="3DAC1592"/>
    <w:rsid w:val="3DC54FBA"/>
    <w:rsid w:val="3DD17E66"/>
    <w:rsid w:val="3DDF607B"/>
    <w:rsid w:val="3DF5764D"/>
    <w:rsid w:val="3DFD6502"/>
    <w:rsid w:val="3E11623B"/>
    <w:rsid w:val="3E27138C"/>
    <w:rsid w:val="3E3A59A8"/>
    <w:rsid w:val="3E413EEF"/>
    <w:rsid w:val="3E416971"/>
    <w:rsid w:val="3E4252D9"/>
    <w:rsid w:val="3E5A7DF8"/>
    <w:rsid w:val="3E6447D3"/>
    <w:rsid w:val="3E8039A8"/>
    <w:rsid w:val="3EA34249"/>
    <w:rsid w:val="3ED132B2"/>
    <w:rsid w:val="3EFC1D8A"/>
    <w:rsid w:val="3EFD0EAF"/>
    <w:rsid w:val="3F746C97"/>
    <w:rsid w:val="3F8F3A20"/>
    <w:rsid w:val="3FCC5FA2"/>
    <w:rsid w:val="3FCE3400"/>
    <w:rsid w:val="3FEE53E1"/>
    <w:rsid w:val="400224F5"/>
    <w:rsid w:val="400F2E2D"/>
    <w:rsid w:val="406A209E"/>
    <w:rsid w:val="40AA5DB5"/>
    <w:rsid w:val="40CD2B03"/>
    <w:rsid w:val="40CF23D7"/>
    <w:rsid w:val="40E45A0A"/>
    <w:rsid w:val="40E60F92"/>
    <w:rsid w:val="41031E02"/>
    <w:rsid w:val="413B39F1"/>
    <w:rsid w:val="4153125A"/>
    <w:rsid w:val="415442A5"/>
    <w:rsid w:val="41635215"/>
    <w:rsid w:val="416D1FB5"/>
    <w:rsid w:val="41804716"/>
    <w:rsid w:val="41880C3F"/>
    <w:rsid w:val="41987176"/>
    <w:rsid w:val="419D423B"/>
    <w:rsid w:val="41A63BF5"/>
    <w:rsid w:val="41F83873"/>
    <w:rsid w:val="41FE1A94"/>
    <w:rsid w:val="42005999"/>
    <w:rsid w:val="42140D46"/>
    <w:rsid w:val="421C459E"/>
    <w:rsid w:val="42250AE8"/>
    <w:rsid w:val="4230130C"/>
    <w:rsid w:val="42332E3A"/>
    <w:rsid w:val="423E7CB7"/>
    <w:rsid w:val="42447A1F"/>
    <w:rsid w:val="42864FF2"/>
    <w:rsid w:val="42883F4D"/>
    <w:rsid w:val="42A44D37"/>
    <w:rsid w:val="42CB6BCE"/>
    <w:rsid w:val="42CE38FA"/>
    <w:rsid w:val="42D0099F"/>
    <w:rsid w:val="42DF08CC"/>
    <w:rsid w:val="42F02AD9"/>
    <w:rsid w:val="4303456B"/>
    <w:rsid w:val="43086F26"/>
    <w:rsid w:val="432A4BCB"/>
    <w:rsid w:val="432D5ADB"/>
    <w:rsid w:val="439B47F3"/>
    <w:rsid w:val="43B31BB3"/>
    <w:rsid w:val="43BD0C0D"/>
    <w:rsid w:val="43C7531C"/>
    <w:rsid w:val="43EF2D90"/>
    <w:rsid w:val="440B733A"/>
    <w:rsid w:val="441306EE"/>
    <w:rsid w:val="44444E8A"/>
    <w:rsid w:val="444F0625"/>
    <w:rsid w:val="445530AF"/>
    <w:rsid w:val="445C242C"/>
    <w:rsid w:val="448434D9"/>
    <w:rsid w:val="44867251"/>
    <w:rsid w:val="44DA5E0C"/>
    <w:rsid w:val="44EC3E8A"/>
    <w:rsid w:val="44EF73D7"/>
    <w:rsid w:val="44F055B3"/>
    <w:rsid w:val="451D0117"/>
    <w:rsid w:val="4527694A"/>
    <w:rsid w:val="453F38A4"/>
    <w:rsid w:val="45761F2E"/>
    <w:rsid w:val="45A1630C"/>
    <w:rsid w:val="45B52844"/>
    <w:rsid w:val="45B95404"/>
    <w:rsid w:val="45F162E0"/>
    <w:rsid w:val="46081EE8"/>
    <w:rsid w:val="464E1DE3"/>
    <w:rsid w:val="46645513"/>
    <w:rsid w:val="46651182"/>
    <w:rsid w:val="467632F5"/>
    <w:rsid w:val="468528E2"/>
    <w:rsid w:val="46C422B2"/>
    <w:rsid w:val="47106E97"/>
    <w:rsid w:val="47183112"/>
    <w:rsid w:val="4732546E"/>
    <w:rsid w:val="47483AE3"/>
    <w:rsid w:val="475A7DB1"/>
    <w:rsid w:val="477A5EA1"/>
    <w:rsid w:val="47A93B03"/>
    <w:rsid w:val="47CF0183"/>
    <w:rsid w:val="47FA07C6"/>
    <w:rsid w:val="48272E80"/>
    <w:rsid w:val="48533C2F"/>
    <w:rsid w:val="48561F9C"/>
    <w:rsid w:val="48630417"/>
    <w:rsid w:val="486B1C86"/>
    <w:rsid w:val="487748CF"/>
    <w:rsid w:val="48967C7F"/>
    <w:rsid w:val="48E12BD8"/>
    <w:rsid w:val="48FD44EF"/>
    <w:rsid w:val="490523CF"/>
    <w:rsid w:val="49162A98"/>
    <w:rsid w:val="493D0072"/>
    <w:rsid w:val="494E5361"/>
    <w:rsid w:val="49521DF7"/>
    <w:rsid w:val="4954161F"/>
    <w:rsid w:val="49A27C2A"/>
    <w:rsid w:val="49A67FC2"/>
    <w:rsid w:val="49AB56D6"/>
    <w:rsid w:val="49D835B1"/>
    <w:rsid w:val="4A0F72C6"/>
    <w:rsid w:val="4A5120AF"/>
    <w:rsid w:val="4A653674"/>
    <w:rsid w:val="4B2C0426"/>
    <w:rsid w:val="4B362C22"/>
    <w:rsid w:val="4B374CDF"/>
    <w:rsid w:val="4B49722A"/>
    <w:rsid w:val="4B5005B9"/>
    <w:rsid w:val="4B5F7F6D"/>
    <w:rsid w:val="4B983D0E"/>
    <w:rsid w:val="4BBD0964"/>
    <w:rsid w:val="4BE10A59"/>
    <w:rsid w:val="4BF96E63"/>
    <w:rsid w:val="4C2973FB"/>
    <w:rsid w:val="4C5E0368"/>
    <w:rsid w:val="4C6267F5"/>
    <w:rsid w:val="4C72630D"/>
    <w:rsid w:val="4C7D53DD"/>
    <w:rsid w:val="4C9F515D"/>
    <w:rsid w:val="4CA960C3"/>
    <w:rsid w:val="4CB661B8"/>
    <w:rsid w:val="4CC82CA6"/>
    <w:rsid w:val="4CEE6E31"/>
    <w:rsid w:val="4CF01EF7"/>
    <w:rsid w:val="4CFC484E"/>
    <w:rsid w:val="4D03307E"/>
    <w:rsid w:val="4D1C2B0A"/>
    <w:rsid w:val="4D23699A"/>
    <w:rsid w:val="4D2951F8"/>
    <w:rsid w:val="4D862070"/>
    <w:rsid w:val="4DB13C02"/>
    <w:rsid w:val="4DC42B98"/>
    <w:rsid w:val="4DCD5EF0"/>
    <w:rsid w:val="4DF053F0"/>
    <w:rsid w:val="4E0B4C6B"/>
    <w:rsid w:val="4E321CED"/>
    <w:rsid w:val="4E5A0417"/>
    <w:rsid w:val="4E636855"/>
    <w:rsid w:val="4E65437B"/>
    <w:rsid w:val="4E9B7D9D"/>
    <w:rsid w:val="4EAB59DF"/>
    <w:rsid w:val="4EE00D0F"/>
    <w:rsid w:val="4EEC23A6"/>
    <w:rsid w:val="4EF833C6"/>
    <w:rsid w:val="4F0F2539"/>
    <w:rsid w:val="4F227E34"/>
    <w:rsid w:val="4F3F4BCC"/>
    <w:rsid w:val="4F437C01"/>
    <w:rsid w:val="4F483226"/>
    <w:rsid w:val="4F8D5DC0"/>
    <w:rsid w:val="4FBB71FC"/>
    <w:rsid w:val="4FE774D3"/>
    <w:rsid w:val="4FEA478B"/>
    <w:rsid w:val="4FEE4FAF"/>
    <w:rsid w:val="503234D1"/>
    <w:rsid w:val="5040743E"/>
    <w:rsid w:val="50727DEE"/>
    <w:rsid w:val="507B163F"/>
    <w:rsid w:val="50830AE8"/>
    <w:rsid w:val="509A346A"/>
    <w:rsid w:val="50D61560"/>
    <w:rsid w:val="50E16005"/>
    <w:rsid w:val="50F33EC0"/>
    <w:rsid w:val="510A3162"/>
    <w:rsid w:val="51630116"/>
    <w:rsid w:val="516C7D38"/>
    <w:rsid w:val="518E1E3B"/>
    <w:rsid w:val="51B64EEE"/>
    <w:rsid w:val="51E57A85"/>
    <w:rsid w:val="51FC6DA4"/>
    <w:rsid w:val="52057C01"/>
    <w:rsid w:val="520E6FB7"/>
    <w:rsid w:val="52133030"/>
    <w:rsid w:val="522C7D15"/>
    <w:rsid w:val="522D1654"/>
    <w:rsid w:val="52451CC4"/>
    <w:rsid w:val="5254156C"/>
    <w:rsid w:val="52705F09"/>
    <w:rsid w:val="52751ED8"/>
    <w:rsid w:val="52807F06"/>
    <w:rsid w:val="52B73D76"/>
    <w:rsid w:val="530E78F4"/>
    <w:rsid w:val="532145E9"/>
    <w:rsid w:val="53301E1E"/>
    <w:rsid w:val="533B38FC"/>
    <w:rsid w:val="53764934"/>
    <w:rsid w:val="538A6632"/>
    <w:rsid w:val="53BC0B3C"/>
    <w:rsid w:val="53BC2C8F"/>
    <w:rsid w:val="53CB45F1"/>
    <w:rsid w:val="53DC22CC"/>
    <w:rsid w:val="53E36D11"/>
    <w:rsid w:val="53F57F4F"/>
    <w:rsid w:val="540463E4"/>
    <w:rsid w:val="54121DDC"/>
    <w:rsid w:val="542E1D64"/>
    <w:rsid w:val="54312BAA"/>
    <w:rsid w:val="543C1920"/>
    <w:rsid w:val="54413194"/>
    <w:rsid w:val="54500399"/>
    <w:rsid w:val="5452714F"/>
    <w:rsid w:val="54813591"/>
    <w:rsid w:val="54861847"/>
    <w:rsid w:val="54895003"/>
    <w:rsid w:val="54AC7708"/>
    <w:rsid w:val="54B363DE"/>
    <w:rsid w:val="54B41297"/>
    <w:rsid w:val="54D04518"/>
    <w:rsid w:val="55251AFB"/>
    <w:rsid w:val="552D3825"/>
    <w:rsid w:val="554115DE"/>
    <w:rsid w:val="55AA02F5"/>
    <w:rsid w:val="55F77DA2"/>
    <w:rsid w:val="56076563"/>
    <w:rsid w:val="564B0F99"/>
    <w:rsid w:val="56540102"/>
    <w:rsid w:val="565879FC"/>
    <w:rsid w:val="566B44F9"/>
    <w:rsid w:val="5681216E"/>
    <w:rsid w:val="56B56061"/>
    <w:rsid w:val="56E72911"/>
    <w:rsid w:val="56EC2C3F"/>
    <w:rsid w:val="570247BA"/>
    <w:rsid w:val="57290645"/>
    <w:rsid w:val="577D6C80"/>
    <w:rsid w:val="579B730C"/>
    <w:rsid w:val="57E82409"/>
    <w:rsid w:val="58223AF1"/>
    <w:rsid w:val="58337298"/>
    <w:rsid w:val="583A6878"/>
    <w:rsid w:val="588673C8"/>
    <w:rsid w:val="58B26433"/>
    <w:rsid w:val="58B86367"/>
    <w:rsid w:val="58BD3A2F"/>
    <w:rsid w:val="58C148A4"/>
    <w:rsid w:val="58D31DAF"/>
    <w:rsid w:val="58DE7BEA"/>
    <w:rsid w:val="58DF3641"/>
    <w:rsid w:val="58F76517"/>
    <w:rsid w:val="59337639"/>
    <w:rsid w:val="594B0075"/>
    <w:rsid w:val="595C637A"/>
    <w:rsid w:val="597B3BA7"/>
    <w:rsid w:val="598F3A95"/>
    <w:rsid w:val="59A60AC9"/>
    <w:rsid w:val="59B87950"/>
    <w:rsid w:val="59C5379A"/>
    <w:rsid w:val="59CF6769"/>
    <w:rsid w:val="59D6612D"/>
    <w:rsid w:val="59EB35C2"/>
    <w:rsid w:val="5A0031AA"/>
    <w:rsid w:val="5A0E3692"/>
    <w:rsid w:val="5A213A78"/>
    <w:rsid w:val="5A302C1C"/>
    <w:rsid w:val="5A355C07"/>
    <w:rsid w:val="5A361E12"/>
    <w:rsid w:val="5A3A490E"/>
    <w:rsid w:val="5A6317C5"/>
    <w:rsid w:val="5A64198B"/>
    <w:rsid w:val="5A6517EF"/>
    <w:rsid w:val="5A87203E"/>
    <w:rsid w:val="5AA46BA6"/>
    <w:rsid w:val="5AA85FCD"/>
    <w:rsid w:val="5ABE2890"/>
    <w:rsid w:val="5ABE2CA1"/>
    <w:rsid w:val="5ACE433D"/>
    <w:rsid w:val="5AD85C60"/>
    <w:rsid w:val="5AE12BFC"/>
    <w:rsid w:val="5B1769FD"/>
    <w:rsid w:val="5B1D3B97"/>
    <w:rsid w:val="5B1F1D55"/>
    <w:rsid w:val="5B2E3D47"/>
    <w:rsid w:val="5B3C6463"/>
    <w:rsid w:val="5B525058"/>
    <w:rsid w:val="5BC31A14"/>
    <w:rsid w:val="5BEC7BF5"/>
    <w:rsid w:val="5BEF3739"/>
    <w:rsid w:val="5BFD0BF4"/>
    <w:rsid w:val="5C0442AB"/>
    <w:rsid w:val="5C0E70D2"/>
    <w:rsid w:val="5C100E52"/>
    <w:rsid w:val="5C393517"/>
    <w:rsid w:val="5C461328"/>
    <w:rsid w:val="5C4F5B4C"/>
    <w:rsid w:val="5C712504"/>
    <w:rsid w:val="5CC26E3C"/>
    <w:rsid w:val="5CCF7073"/>
    <w:rsid w:val="5CE64375"/>
    <w:rsid w:val="5CEA6009"/>
    <w:rsid w:val="5CF54B1C"/>
    <w:rsid w:val="5CF81A48"/>
    <w:rsid w:val="5D053A9E"/>
    <w:rsid w:val="5D347F04"/>
    <w:rsid w:val="5D3F223B"/>
    <w:rsid w:val="5D427E63"/>
    <w:rsid w:val="5D6121B1"/>
    <w:rsid w:val="5D6E48CE"/>
    <w:rsid w:val="5DC21AC7"/>
    <w:rsid w:val="5DF00658"/>
    <w:rsid w:val="5DF72B16"/>
    <w:rsid w:val="5E062073"/>
    <w:rsid w:val="5E111E29"/>
    <w:rsid w:val="5E1D5B3E"/>
    <w:rsid w:val="5E241C14"/>
    <w:rsid w:val="5E371164"/>
    <w:rsid w:val="5E382C63"/>
    <w:rsid w:val="5E4E554F"/>
    <w:rsid w:val="5E552D48"/>
    <w:rsid w:val="5E7245DC"/>
    <w:rsid w:val="5E9E1043"/>
    <w:rsid w:val="5EBF4268"/>
    <w:rsid w:val="5EE21288"/>
    <w:rsid w:val="5F0E0D60"/>
    <w:rsid w:val="5F3879BB"/>
    <w:rsid w:val="5F55167C"/>
    <w:rsid w:val="5F600435"/>
    <w:rsid w:val="5F776DCD"/>
    <w:rsid w:val="5F8426C2"/>
    <w:rsid w:val="5FA32F55"/>
    <w:rsid w:val="5FC1162D"/>
    <w:rsid w:val="5FC56EB7"/>
    <w:rsid w:val="5FD24500"/>
    <w:rsid w:val="5FE464DE"/>
    <w:rsid w:val="601C4478"/>
    <w:rsid w:val="60243AEA"/>
    <w:rsid w:val="6062483F"/>
    <w:rsid w:val="606A3A73"/>
    <w:rsid w:val="606F595D"/>
    <w:rsid w:val="607A107A"/>
    <w:rsid w:val="60862B47"/>
    <w:rsid w:val="608B4D11"/>
    <w:rsid w:val="608C0C1C"/>
    <w:rsid w:val="609A4BD3"/>
    <w:rsid w:val="609E2EE5"/>
    <w:rsid w:val="609F4B57"/>
    <w:rsid w:val="60B16E66"/>
    <w:rsid w:val="60DE486D"/>
    <w:rsid w:val="611D2893"/>
    <w:rsid w:val="611F436F"/>
    <w:rsid w:val="61630C24"/>
    <w:rsid w:val="617A7CE6"/>
    <w:rsid w:val="61845FE6"/>
    <w:rsid w:val="61EB26C7"/>
    <w:rsid w:val="61FA4982"/>
    <w:rsid w:val="62087782"/>
    <w:rsid w:val="62400EAD"/>
    <w:rsid w:val="62723370"/>
    <w:rsid w:val="627B4140"/>
    <w:rsid w:val="62A94E73"/>
    <w:rsid w:val="62C46BE6"/>
    <w:rsid w:val="62EA4033"/>
    <w:rsid w:val="62F12229"/>
    <w:rsid w:val="63221DE5"/>
    <w:rsid w:val="63281D24"/>
    <w:rsid w:val="6328643C"/>
    <w:rsid w:val="63486485"/>
    <w:rsid w:val="63564074"/>
    <w:rsid w:val="638B61DA"/>
    <w:rsid w:val="63952BB5"/>
    <w:rsid w:val="6399486F"/>
    <w:rsid w:val="63C30F6B"/>
    <w:rsid w:val="63D731CD"/>
    <w:rsid w:val="63E9766D"/>
    <w:rsid w:val="63FB2DA8"/>
    <w:rsid w:val="64045705"/>
    <w:rsid w:val="64055F8C"/>
    <w:rsid w:val="64842C1F"/>
    <w:rsid w:val="64A05CB5"/>
    <w:rsid w:val="64B00387"/>
    <w:rsid w:val="64CA1589"/>
    <w:rsid w:val="64CE24BC"/>
    <w:rsid w:val="64D9450A"/>
    <w:rsid w:val="65051D30"/>
    <w:rsid w:val="65090757"/>
    <w:rsid w:val="65270184"/>
    <w:rsid w:val="654B50E5"/>
    <w:rsid w:val="655932A9"/>
    <w:rsid w:val="655E20CB"/>
    <w:rsid w:val="65686095"/>
    <w:rsid w:val="656971DE"/>
    <w:rsid w:val="656A50F4"/>
    <w:rsid w:val="6588794E"/>
    <w:rsid w:val="65905D2A"/>
    <w:rsid w:val="65CF1724"/>
    <w:rsid w:val="65E10917"/>
    <w:rsid w:val="65ED1915"/>
    <w:rsid w:val="65ED6CD8"/>
    <w:rsid w:val="65F8526B"/>
    <w:rsid w:val="65FA13F5"/>
    <w:rsid w:val="66076DF1"/>
    <w:rsid w:val="66213569"/>
    <w:rsid w:val="66482160"/>
    <w:rsid w:val="66521231"/>
    <w:rsid w:val="668D5EA9"/>
    <w:rsid w:val="66B617C0"/>
    <w:rsid w:val="66BF4278"/>
    <w:rsid w:val="67013895"/>
    <w:rsid w:val="672A4A85"/>
    <w:rsid w:val="672C7CD4"/>
    <w:rsid w:val="67317098"/>
    <w:rsid w:val="67363C15"/>
    <w:rsid w:val="67544B35"/>
    <w:rsid w:val="676326FD"/>
    <w:rsid w:val="67765843"/>
    <w:rsid w:val="67D0283D"/>
    <w:rsid w:val="67D776E2"/>
    <w:rsid w:val="67DC07AD"/>
    <w:rsid w:val="68142C42"/>
    <w:rsid w:val="686C0529"/>
    <w:rsid w:val="687C5E53"/>
    <w:rsid w:val="68A235FA"/>
    <w:rsid w:val="68E355A8"/>
    <w:rsid w:val="68ED6325"/>
    <w:rsid w:val="690A5DF3"/>
    <w:rsid w:val="690D143F"/>
    <w:rsid w:val="690D5068"/>
    <w:rsid w:val="692C1F1D"/>
    <w:rsid w:val="695706BC"/>
    <w:rsid w:val="69710B4F"/>
    <w:rsid w:val="697668D2"/>
    <w:rsid w:val="69AF0EE7"/>
    <w:rsid w:val="69D45077"/>
    <w:rsid w:val="6A055CA9"/>
    <w:rsid w:val="6A130CD7"/>
    <w:rsid w:val="6A2975B6"/>
    <w:rsid w:val="6A3B7890"/>
    <w:rsid w:val="6A6B466F"/>
    <w:rsid w:val="6A8E581F"/>
    <w:rsid w:val="6ABD59D5"/>
    <w:rsid w:val="6ACA7206"/>
    <w:rsid w:val="6AD22940"/>
    <w:rsid w:val="6AEA1A38"/>
    <w:rsid w:val="6B0E09DA"/>
    <w:rsid w:val="6B207439"/>
    <w:rsid w:val="6B486645"/>
    <w:rsid w:val="6B564DC0"/>
    <w:rsid w:val="6B6478E7"/>
    <w:rsid w:val="6B741C4A"/>
    <w:rsid w:val="6B853471"/>
    <w:rsid w:val="6B99375A"/>
    <w:rsid w:val="6BC24763"/>
    <w:rsid w:val="6C1F1BB5"/>
    <w:rsid w:val="6C3423CB"/>
    <w:rsid w:val="6C353CDA"/>
    <w:rsid w:val="6C3945C2"/>
    <w:rsid w:val="6CB52F6D"/>
    <w:rsid w:val="6CCF21CC"/>
    <w:rsid w:val="6CD56718"/>
    <w:rsid w:val="6CD77F2C"/>
    <w:rsid w:val="6CDE464C"/>
    <w:rsid w:val="6CF67FAF"/>
    <w:rsid w:val="6D24356E"/>
    <w:rsid w:val="6D265C0D"/>
    <w:rsid w:val="6D6B4986"/>
    <w:rsid w:val="6D741A8D"/>
    <w:rsid w:val="6D791773"/>
    <w:rsid w:val="6DFB3F5C"/>
    <w:rsid w:val="6E135134"/>
    <w:rsid w:val="6E51210E"/>
    <w:rsid w:val="6E814EA6"/>
    <w:rsid w:val="6E851A78"/>
    <w:rsid w:val="6EAC1EB7"/>
    <w:rsid w:val="6EAE5472"/>
    <w:rsid w:val="6EBC6FBF"/>
    <w:rsid w:val="6EF252AF"/>
    <w:rsid w:val="6F064C35"/>
    <w:rsid w:val="6F130D6B"/>
    <w:rsid w:val="6F1473D6"/>
    <w:rsid w:val="6F181CEB"/>
    <w:rsid w:val="6F392F8E"/>
    <w:rsid w:val="6F4831D1"/>
    <w:rsid w:val="6F5134D5"/>
    <w:rsid w:val="6F572DF3"/>
    <w:rsid w:val="6F6153F8"/>
    <w:rsid w:val="6F6D0E8A"/>
    <w:rsid w:val="6F6F69B0"/>
    <w:rsid w:val="6FC17588"/>
    <w:rsid w:val="6FC93062"/>
    <w:rsid w:val="6FD607DD"/>
    <w:rsid w:val="700370F8"/>
    <w:rsid w:val="700A0487"/>
    <w:rsid w:val="70217DF3"/>
    <w:rsid w:val="703F0766"/>
    <w:rsid w:val="706E4646"/>
    <w:rsid w:val="7084648B"/>
    <w:rsid w:val="70A96854"/>
    <w:rsid w:val="70B34FC2"/>
    <w:rsid w:val="70C1148D"/>
    <w:rsid w:val="70E750CF"/>
    <w:rsid w:val="70EB650A"/>
    <w:rsid w:val="70F42FCF"/>
    <w:rsid w:val="71352A9F"/>
    <w:rsid w:val="7142463B"/>
    <w:rsid w:val="714917B8"/>
    <w:rsid w:val="71566079"/>
    <w:rsid w:val="7172779E"/>
    <w:rsid w:val="71A505A4"/>
    <w:rsid w:val="71F37174"/>
    <w:rsid w:val="72037883"/>
    <w:rsid w:val="724F1864"/>
    <w:rsid w:val="728B4BDF"/>
    <w:rsid w:val="72A82806"/>
    <w:rsid w:val="72BB170D"/>
    <w:rsid w:val="72D372E3"/>
    <w:rsid w:val="72E256EB"/>
    <w:rsid w:val="72F26FB5"/>
    <w:rsid w:val="73040267"/>
    <w:rsid w:val="730C2F77"/>
    <w:rsid w:val="73106AED"/>
    <w:rsid w:val="731673B3"/>
    <w:rsid w:val="73216213"/>
    <w:rsid w:val="73426189"/>
    <w:rsid w:val="73734595"/>
    <w:rsid w:val="738844E4"/>
    <w:rsid w:val="739E015D"/>
    <w:rsid w:val="73B61051"/>
    <w:rsid w:val="73C70483"/>
    <w:rsid w:val="73DB31E4"/>
    <w:rsid w:val="73E51C12"/>
    <w:rsid w:val="741F59E3"/>
    <w:rsid w:val="74212243"/>
    <w:rsid w:val="74327764"/>
    <w:rsid w:val="744875A2"/>
    <w:rsid w:val="747C351C"/>
    <w:rsid w:val="747C497D"/>
    <w:rsid w:val="749B1FF5"/>
    <w:rsid w:val="74A569D0"/>
    <w:rsid w:val="74AC5FB0"/>
    <w:rsid w:val="74B145BA"/>
    <w:rsid w:val="74E80C35"/>
    <w:rsid w:val="75402C0D"/>
    <w:rsid w:val="75731778"/>
    <w:rsid w:val="757C3F63"/>
    <w:rsid w:val="757D0F1B"/>
    <w:rsid w:val="75814DD6"/>
    <w:rsid w:val="7598161D"/>
    <w:rsid w:val="759C4277"/>
    <w:rsid w:val="759D3E43"/>
    <w:rsid w:val="75B672AB"/>
    <w:rsid w:val="75B84A72"/>
    <w:rsid w:val="75B91D43"/>
    <w:rsid w:val="75E04C1B"/>
    <w:rsid w:val="75EA3101"/>
    <w:rsid w:val="75EA6D90"/>
    <w:rsid w:val="75F22F75"/>
    <w:rsid w:val="760D4D74"/>
    <w:rsid w:val="76150602"/>
    <w:rsid w:val="76222141"/>
    <w:rsid w:val="763C5112"/>
    <w:rsid w:val="76530DD9"/>
    <w:rsid w:val="765C68EA"/>
    <w:rsid w:val="766E2CBE"/>
    <w:rsid w:val="76CA61B3"/>
    <w:rsid w:val="76E25CB9"/>
    <w:rsid w:val="76E40C6E"/>
    <w:rsid w:val="76E9684C"/>
    <w:rsid w:val="770603A0"/>
    <w:rsid w:val="770E309A"/>
    <w:rsid w:val="77161E07"/>
    <w:rsid w:val="774B2CDF"/>
    <w:rsid w:val="77513AC8"/>
    <w:rsid w:val="7755292F"/>
    <w:rsid w:val="776814E2"/>
    <w:rsid w:val="776C2C31"/>
    <w:rsid w:val="77B238DE"/>
    <w:rsid w:val="77CA0DF3"/>
    <w:rsid w:val="77F86171"/>
    <w:rsid w:val="78025942"/>
    <w:rsid w:val="78530F4F"/>
    <w:rsid w:val="785F128C"/>
    <w:rsid w:val="78B71049"/>
    <w:rsid w:val="78D567DF"/>
    <w:rsid w:val="78F10436"/>
    <w:rsid w:val="790A14F7"/>
    <w:rsid w:val="791D7113"/>
    <w:rsid w:val="79292803"/>
    <w:rsid w:val="79324A9F"/>
    <w:rsid w:val="79334F12"/>
    <w:rsid w:val="79387337"/>
    <w:rsid w:val="795457AE"/>
    <w:rsid w:val="799B4ED9"/>
    <w:rsid w:val="79BF320E"/>
    <w:rsid w:val="79C7137C"/>
    <w:rsid w:val="79E12846"/>
    <w:rsid w:val="79EB3DFC"/>
    <w:rsid w:val="79FE5AF0"/>
    <w:rsid w:val="7A236819"/>
    <w:rsid w:val="7A29645E"/>
    <w:rsid w:val="7A354699"/>
    <w:rsid w:val="7A3C000F"/>
    <w:rsid w:val="7A545120"/>
    <w:rsid w:val="7A8316B7"/>
    <w:rsid w:val="7A9F445D"/>
    <w:rsid w:val="7AA17C39"/>
    <w:rsid w:val="7B0321EC"/>
    <w:rsid w:val="7B0501C8"/>
    <w:rsid w:val="7B2F1969"/>
    <w:rsid w:val="7B2F3F92"/>
    <w:rsid w:val="7B501CA8"/>
    <w:rsid w:val="7B62561B"/>
    <w:rsid w:val="7B69667D"/>
    <w:rsid w:val="7B7001B4"/>
    <w:rsid w:val="7BE530CE"/>
    <w:rsid w:val="7BEB6F40"/>
    <w:rsid w:val="7C305674"/>
    <w:rsid w:val="7C7E1CA6"/>
    <w:rsid w:val="7C8F3808"/>
    <w:rsid w:val="7C9D38E6"/>
    <w:rsid w:val="7CF8248D"/>
    <w:rsid w:val="7D4638A1"/>
    <w:rsid w:val="7D620737"/>
    <w:rsid w:val="7D954C7D"/>
    <w:rsid w:val="7D9F168F"/>
    <w:rsid w:val="7DB051E5"/>
    <w:rsid w:val="7DB55D7C"/>
    <w:rsid w:val="7DBF6967"/>
    <w:rsid w:val="7DC26844"/>
    <w:rsid w:val="7DD30D38"/>
    <w:rsid w:val="7DE57188"/>
    <w:rsid w:val="7DEF33F5"/>
    <w:rsid w:val="7E094473"/>
    <w:rsid w:val="7E133786"/>
    <w:rsid w:val="7E28179D"/>
    <w:rsid w:val="7E2F05AE"/>
    <w:rsid w:val="7E307C52"/>
    <w:rsid w:val="7E4C4188"/>
    <w:rsid w:val="7E822EE0"/>
    <w:rsid w:val="7E955D07"/>
    <w:rsid w:val="7E9C7095"/>
    <w:rsid w:val="7EA53A8B"/>
    <w:rsid w:val="7EC03A91"/>
    <w:rsid w:val="7EC468E4"/>
    <w:rsid w:val="7EE53FE6"/>
    <w:rsid w:val="7F2518F6"/>
    <w:rsid w:val="7F8F09A8"/>
    <w:rsid w:val="7FA85E62"/>
    <w:rsid w:val="7FAA57E2"/>
    <w:rsid w:val="7FE71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widowControl/>
      <w:spacing w:before="260" w:after="260" w:line="416" w:lineRule="auto"/>
      <w:jc w:val="left"/>
      <w:outlineLvl w:val="1"/>
    </w:pPr>
    <w:rPr>
      <w:rFonts w:ascii="Arial" w:hAnsi="Arial" w:eastAsia="黑体"/>
      <w:b/>
      <w:sz w:val="32"/>
      <w:szCs w:val="20"/>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2"/>
    <w:qFormat/>
    <w:uiPriority w:val="0"/>
    <w:rPr>
      <w:sz w:val="21"/>
    </w:rPr>
  </w:style>
  <w:style w:type="paragraph" w:styleId="6">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47"/>
    <w:semiHidden/>
    <w:unhideWhenUsed/>
    <w:qFormat/>
    <w:uiPriority w:val="0"/>
    <w:pPr>
      <w:jc w:val="left"/>
    </w:pPr>
  </w:style>
  <w:style w:type="paragraph" w:styleId="10">
    <w:name w:val="Body Text Indent"/>
    <w:basedOn w:val="1"/>
    <w:qFormat/>
    <w:uiPriority w:val="0"/>
    <w:pPr>
      <w:ind w:firstLine="555"/>
    </w:pPr>
  </w:style>
  <w:style w:type="paragraph" w:styleId="11">
    <w:name w:val="Plain Text"/>
    <w:basedOn w:val="1"/>
    <w:qFormat/>
    <w:uiPriority w:val="0"/>
    <w:rPr>
      <w:rFonts w:ascii="宋体" w:hAnsi="Courier New" w:cs="Courier New"/>
      <w:kern w:val="2"/>
      <w:szCs w:val="21"/>
    </w:rPr>
  </w:style>
  <w:style w:type="paragraph" w:styleId="12">
    <w:name w:val="Date"/>
    <w:basedOn w:val="1"/>
    <w:next w:val="1"/>
    <w:link w:val="37"/>
    <w:qFormat/>
    <w:uiPriority w:val="0"/>
    <w:rPr>
      <w:kern w:val="2"/>
      <w:sz w:val="28"/>
      <w:szCs w:val="20"/>
    </w:rPr>
  </w:style>
  <w:style w:type="paragraph" w:styleId="13">
    <w:name w:val="Body Text Indent 2"/>
    <w:basedOn w:val="1"/>
    <w:qFormat/>
    <w:uiPriority w:val="0"/>
    <w:pPr>
      <w:spacing w:line="540" w:lineRule="exact"/>
      <w:ind w:firstLine="630"/>
    </w:pPr>
  </w:style>
  <w:style w:type="paragraph" w:styleId="14">
    <w:name w:val="Balloon Text"/>
    <w:basedOn w:val="1"/>
    <w:link w:val="31"/>
    <w:qFormat/>
    <w:uiPriority w:val="0"/>
    <w:rPr>
      <w:sz w:val="18"/>
      <w:szCs w:val="18"/>
    </w:rPr>
  </w:style>
  <w:style w:type="paragraph" w:styleId="15">
    <w:name w:val="footer"/>
    <w:basedOn w:val="1"/>
    <w:link w:val="32"/>
    <w:qFormat/>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21"/>
    </w:rPr>
  </w:style>
  <w:style w:type="paragraph" w:styleId="17">
    <w:name w:val="toc 1"/>
    <w:basedOn w:val="1"/>
    <w:next w:val="1"/>
    <w:semiHidden/>
    <w:qFormat/>
    <w:uiPriority w:val="0"/>
    <w:pPr>
      <w:tabs>
        <w:tab w:val="right" w:leader="dot" w:pos="8658"/>
      </w:tabs>
      <w:ind w:left="935" w:leftChars="400"/>
    </w:pPr>
  </w:style>
  <w:style w:type="paragraph" w:styleId="18">
    <w:name w:val="Body Text 2"/>
    <w:basedOn w:val="1"/>
    <w:qFormat/>
    <w:uiPriority w:val="0"/>
    <w:pPr>
      <w:jc w:val="center"/>
    </w:pPr>
    <w:rPr>
      <w:sz w:val="21"/>
    </w:rPr>
  </w:style>
  <w:style w:type="paragraph" w:styleId="19">
    <w:name w:val="Title"/>
    <w:basedOn w:val="1"/>
    <w:link w:val="45"/>
    <w:qFormat/>
    <w:uiPriority w:val="10"/>
    <w:pPr>
      <w:widowControl/>
      <w:jc w:val="center"/>
    </w:pPr>
    <w:rPr>
      <w:rFonts w:ascii="Cambria" w:hAnsi="Cambria" w:eastAsia="Cambria"/>
      <w:sz w:val="20"/>
      <w:u w:val="single"/>
      <w:lang w:eastAsia="en-US"/>
    </w:rPr>
  </w:style>
  <w:style w:type="paragraph" w:styleId="20">
    <w:name w:val="annotation subject"/>
    <w:basedOn w:val="9"/>
    <w:next w:val="9"/>
    <w:link w:val="48"/>
    <w:semiHidden/>
    <w:unhideWhenUsed/>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semiHidden/>
    <w:unhideWhenUsed/>
    <w:qFormat/>
    <w:uiPriority w:val="0"/>
    <w:rPr>
      <w:sz w:val="21"/>
      <w:szCs w:val="21"/>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paragraph" w:customStyle="1" w:styleId="28">
    <w:name w:val="样式1"/>
    <w:basedOn w:val="4"/>
    <w:qFormat/>
    <w:uiPriority w:val="0"/>
    <w:pPr>
      <w:spacing w:line="640" w:lineRule="exact"/>
      <w:jc w:val="center"/>
    </w:pPr>
    <w:rPr>
      <w:rFonts w:ascii="方正小标宋简体" w:hAnsi="华文中宋" w:eastAsia="方正小标宋简体"/>
      <w:b w:val="0"/>
    </w:rPr>
  </w:style>
  <w:style w:type="paragraph" w:customStyle="1" w:styleId="29">
    <w:name w:val="样式2"/>
    <w:basedOn w:val="4"/>
    <w:qFormat/>
    <w:uiPriority w:val="0"/>
    <w:pPr>
      <w:spacing w:line="640" w:lineRule="exact"/>
      <w:jc w:val="center"/>
    </w:pPr>
    <w:rPr>
      <w:rFonts w:ascii="方正小标宋简体" w:hAnsi="华文中宋" w:eastAsia="方正小标宋简体"/>
      <w:b w:val="0"/>
    </w:rPr>
  </w:style>
  <w:style w:type="paragraph" w:customStyle="1" w:styleId="30">
    <w:name w:val="样式3"/>
    <w:basedOn w:val="4"/>
    <w:qFormat/>
    <w:uiPriority w:val="0"/>
    <w:pPr>
      <w:spacing w:line="640" w:lineRule="exact"/>
      <w:jc w:val="center"/>
    </w:pPr>
    <w:rPr>
      <w:rFonts w:ascii="方正小标宋简体" w:hAnsi="华文中宋" w:eastAsia="方正小标宋简体"/>
      <w:b w:val="0"/>
    </w:rPr>
  </w:style>
  <w:style w:type="character" w:customStyle="1" w:styleId="31">
    <w:name w:val="批注框文本 Char"/>
    <w:link w:val="14"/>
    <w:qFormat/>
    <w:uiPriority w:val="0"/>
    <w:rPr>
      <w:sz w:val="18"/>
      <w:szCs w:val="18"/>
    </w:rPr>
  </w:style>
  <w:style w:type="character" w:customStyle="1" w:styleId="32">
    <w:name w:val="页脚 Char"/>
    <w:link w:val="15"/>
    <w:qFormat/>
    <w:uiPriority w:val="99"/>
    <w:rPr>
      <w:sz w:val="18"/>
      <w:szCs w:val="18"/>
    </w:rPr>
  </w:style>
  <w:style w:type="paragraph" w:customStyle="1" w:styleId="33">
    <w:name w:val="Char Char Char Char Char Char1 Char"/>
    <w:basedOn w:val="1"/>
    <w:qFormat/>
    <w:uiPriority w:val="0"/>
    <w:pPr>
      <w:widowControl/>
      <w:spacing w:after="160" w:line="240" w:lineRule="exact"/>
      <w:jc w:val="left"/>
    </w:pPr>
    <w:rPr>
      <w:rFonts w:ascii="Verdana" w:hAnsi="Verdana"/>
      <w:sz w:val="21"/>
      <w:szCs w:val="20"/>
      <w:lang w:eastAsia="en-US"/>
    </w:rPr>
  </w:style>
  <w:style w:type="character" w:customStyle="1" w:styleId="34">
    <w:name w:val="页眉 Char"/>
    <w:link w:val="16"/>
    <w:qFormat/>
    <w:uiPriority w:val="99"/>
    <w:rPr>
      <w:sz w:val="18"/>
      <w:szCs w:val="21"/>
    </w:rPr>
  </w:style>
  <w:style w:type="paragraph" w:customStyle="1" w:styleId="35">
    <w:name w:val="列出段落1"/>
    <w:basedOn w:val="1"/>
    <w:link w:val="36"/>
    <w:qFormat/>
    <w:uiPriority w:val="0"/>
    <w:pPr>
      <w:widowControl/>
      <w:ind w:left="720" w:firstLine="360"/>
      <w:jc w:val="left"/>
    </w:pPr>
    <w:rPr>
      <w:rFonts w:ascii="Calibri" w:hAnsi="Calibri"/>
      <w:sz w:val="22"/>
      <w:szCs w:val="20"/>
      <w:lang w:eastAsia="en-US"/>
    </w:rPr>
  </w:style>
  <w:style w:type="character" w:customStyle="1" w:styleId="36">
    <w:name w:val="List Paragraph Char"/>
    <w:link w:val="35"/>
    <w:qFormat/>
    <w:locked/>
    <w:uiPriority w:val="0"/>
    <w:rPr>
      <w:rFonts w:ascii="Calibri" w:hAnsi="Calibri"/>
      <w:sz w:val="22"/>
      <w:lang w:eastAsia="en-US"/>
    </w:rPr>
  </w:style>
  <w:style w:type="character" w:customStyle="1" w:styleId="37">
    <w:name w:val="日期 Char"/>
    <w:link w:val="12"/>
    <w:qFormat/>
    <w:uiPriority w:val="0"/>
    <w:rPr>
      <w:kern w:val="2"/>
      <w:sz w:val="28"/>
    </w:rPr>
  </w:style>
  <w:style w:type="paragraph" w:customStyle="1" w:styleId="38">
    <w:name w:val="1"/>
    <w:basedOn w:val="1"/>
    <w:next w:val="11"/>
    <w:qFormat/>
    <w:uiPriority w:val="0"/>
    <w:rPr>
      <w:rFonts w:ascii="宋体" w:hAnsi="Courier New"/>
      <w:kern w:val="2"/>
      <w:sz w:val="21"/>
      <w:szCs w:val="20"/>
    </w:rPr>
  </w:style>
  <w:style w:type="paragraph" w:customStyle="1" w:styleId="39">
    <w:name w:val="图例"/>
    <w:basedOn w:val="1"/>
    <w:qFormat/>
    <w:uiPriority w:val="0"/>
    <w:pPr>
      <w:spacing w:before="120" w:after="120" w:line="360" w:lineRule="auto"/>
      <w:jc w:val="center"/>
    </w:pPr>
    <w:rPr>
      <w:rFonts w:eastAsia="仿宋_GB2312"/>
      <w:b/>
      <w:kern w:val="2"/>
      <w:szCs w:val="20"/>
    </w:rPr>
  </w:style>
  <w:style w:type="character" w:customStyle="1" w:styleId="40">
    <w:name w:val="font21"/>
    <w:qFormat/>
    <w:uiPriority w:val="0"/>
    <w:rPr>
      <w:rFonts w:hint="eastAsia" w:ascii="宋体" w:hAnsi="宋体" w:eastAsia="宋体" w:cs="宋体"/>
      <w:color w:val="000000"/>
      <w:sz w:val="21"/>
      <w:szCs w:val="21"/>
      <w:u w:val="none"/>
    </w:rPr>
  </w:style>
  <w:style w:type="paragraph" w:customStyle="1" w:styleId="41">
    <w:name w:val="招标节"/>
    <w:basedOn w:val="1"/>
    <w:next w:val="1"/>
    <w:qFormat/>
    <w:uiPriority w:val="0"/>
    <w:pPr>
      <w:spacing w:beforeLines="50" w:afterLines="50"/>
      <w:outlineLvl w:val="1"/>
    </w:pPr>
    <w:rPr>
      <w:b/>
    </w:rPr>
  </w:style>
  <w:style w:type="paragraph" w:styleId="42">
    <w:name w:val="List Paragraph"/>
    <w:basedOn w:val="1"/>
    <w:unhideWhenUsed/>
    <w:qFormat/>
    <w:uiPriority w:val="99"/>
    <w:pPr>
      <w:ind w:firstLine="420" w:firstLineChars="200"/>
    </w:pPr>
  </w:style>
  <w:style w:type="paragraph" w:customStyle="1" w:styleId="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Cs w:val="20"/>
    </w:rPr>
  </w:style>
  <w:style w:type="character" w:customStyle="1" w:styleId="44">
    <w:name w:val="未处理的提及1"/>
    <w:basedOn w:val="23"/>
    <w:semiHidden/>
    <w:unhideWhenUsed/>
    <w:qFormat/>
    <w:uiPriority w:val="99"/>
    <w:rPr>
      <w:color w:val="605E5C"/>
      <w:shd w:val="clear" w:color="auto" w:fill="E1DFDD"/>
    </w:rPr>
  </w:style>
  <w:style w:type="character" w:customStyle="1" w:styleId="45">
    <w:name w:val="标题 Char"/>
    <w:basedOn w:val="23"/>
    <w:link w:val="19"/>
    <w:qFormat/>
    <w:uiPriority w:val="10"/>
    <w:rPr>
      <w:rFonts w:ascii="Cambria" w:hAnsi="Cambria" w:eastAsia="Cambria"/>
      <w:szCs w:val="24"/>
      <w:u w:val="single"/>
      <w:lang w:eastAsia="en-US"/>
    </w:rPr>
  </w:style>
  <w:style w:type="paragraph" w:customStyle="1" w:styleId="46">
    <w:name w:val="_Style 43"/>
    <w:basedOn w:val="1"/>
    <w:next w:val="42"/>
    <w:qFormat/>
    <w:uiPriority w:val="34"/>
    <w:pPr>
      <w:ind w:firstLine="420" w:firstLineChars="200"/>
    </w:pPr>
    <w:rPr>
      <w:kern w:val="2"/>
      <w:sz w:val="21"/>
    </w:rPr>
  </w:style>
  <w:style w:type="character" w:customStyle="1" w:styleId="47">
    <w:name w:val="批注文字 Char"/>
    <w:basedOn w:val="23"/>
    <w:link w:val="9"/>
    <w:semiHidden/>
    <w:qFormat/>
    <w:uiPriority w:val="0"/>
    <w:rPr>
      <w:sz w:val="24"/>
      <w:szCs w:val="24"/>
    </w:rPr>
  </w:style>
  <w:style w:type="character" w:customStyle="1" w:styleId="48">
    <w:name w:val="批注主题 Char"/>
    <w:basedOn w:val="47"/>
    <w:link w:val="20"/>
    <w:semiHidden/>
    <w:qFormat/>
    <w:uiPriority w:val="0"/>
    <w:rPr>
      <w:b/>
      <w:bCs/>
      <w:sz w:val="24"/>
      <w:szCs w:val="24"/>
    </w:rPr>
  </w:style>
  <w:style w:type="paragraph" w:customStyle="1" w:styleId="49">
    <w:name w:val="修订1"/>
    <w:hidden/>
    <w:semiHidden/>
    <w:qFormat/>
    <w:uiPriority w:val="99"/>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DE08C-FB4F-4071-AF59-C18E8FCDEEFF}">
  <ds:schemaRefs/>
</ds:datastoreItem>
</file>

<file path=docProps/app.xml><?xml version="1.0" encoding="utf-8"?>
<Properties xmlns="http://schemas.openxmlformats.org/officeDocument/2006/extended-properties" xmlns:vt="http://schemas.openxmlformats.org/officeDocument/2006/docPropsVTypes">
  <Template>Normal</Template>
  <Company>订购一处办</Company>
  <Pages>46</Pages>
  <Words>22773</Words>
  <Characters>23659</Characters>
  <Lines>168</Lines>
  <Paragraphs>47</Paragraphs>
  <TotalTime>56</TotalTime>
  <ScaleCrop>false</ScaleCrop>
  <LinksUpToDate>false</LinksUpToDate>
  <CharactersWithSpaces>24581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2020-11-27T06:10:00Z</dcterms:created>
  <dc:creator>李文耀</dc:creator>
  <cp:lastModifiedBy>Administrator</cp:lastModifiedBy>
  <cp:lastPrinted>2023-06-29T01:37:00Z</cp:lastPrinted>
  <dcterms:modified xsi:type="dcterms:W3CDTF">2023-06-30T04:37:58Z</dcterms:modified>
  <dc:title>招  标  文  件</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712872C0B21E49AE8106C1AD4A6A07FF_13</vt:lpwstr>
  </property>
</Properties>
</file>